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ageBreakBefore/>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供給側の状況は、厚生労働省「介護サービス情報公表システム」により、町内14の指定すべてについて把握しました（令和８年10月）。 </w:t>
            </w:r>
            <w:r>
              <w:t>定員・在所者数・入所率・待機者数・職種別の従業者数・前年度の採用者数及び退職者数・指定の年月日・退所先が公表されています。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町内にあった軽費老人ホーム（定員70人）は、令和6年3月31日に廃止されました。 </w:t>
            </w:r>
            <w:r>
              <w:t>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見込量確保の方策、介護人材の確保、事業所支援</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家族介護なし45.8％、うち56.9％が施設申込み済み、家族介護もサービスもない世帯50件（36.2％）。「単身世帯かつ家族介護なし」では24件中20件（83.3％）が申込み済み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介護予防、リハビリテーション、重度化予防</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自動車74.1％／路線バス5.4％、外出控え19.1％、参加意欲55.2％に対し企画・運営41.4％</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5,959円（▲211円）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6,235円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5,714円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182,190千円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998,220千円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は、何をする事業なのかが分かるよう「内容」の欄を設けています。現在の計画素案は本文117頁で、資料編（見込13頁）を加えると計130頁となり、仕様書８の「100頁程度」を30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117頁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130頁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＋30頁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