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交付金の評価と取り戻しをめざす27点</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Style w:val="1"/>
        <w:keepNext/>
        <w:keepLines/>
        <w:pageBreakBefore/>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８事業所の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供給側の状況は、厚生労働省「介護サービス情報公表システム」により、町内８事業所の14の指定すべてについて把握しました（令和８年10月）。 定員・在所者数・入所率・待機者数・職種別の従業者数・前年度の採用者数及び退職者数・指定の年月日・退所先が公表されています。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延べ利用日数による稼働率・短期入所の利用・職員数の推移は、地域包括ケア「見える化」システム（事業所分析・各年9月）で令和３年から令和７年まで把握しました（下の４つ目の表）。</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いずれの資料にもないものは３件です。 入所前の居所・経営の状況・町への要望。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町内にあった軽費老人ホーム（定員70人）は、令和6年3月31日に廃止されました。 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令和３年</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宮城県内の中央値（令和７年）</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介護老人福祉施設（定員30人）の稼働率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95.1％</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98.8％</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94.0％</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介護老人保健施設（定員86人）の稼働率</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92.6％</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91.9％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90.6％</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地域密着型介護老人福祉施設入所者生活介護（2施設・定員20→30人）の稼働率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78.7％</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94.9％</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認知症対応型共同生活介護（2事業所・定員27人）の稼働率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96.7％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85.3％</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94.4％</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短期入所（2事業所）の利用者数（月）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通所介護（定員40→30人）の回転率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51.7％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54.4％</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53.7％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通所リハビリテーション（定員65人）の回転率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61.5％</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50.2％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施設・居住系の介護職員（常勤換算・計）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82.8人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80.5人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同 定員100人あたり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50.8人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46.5人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の表は地域包括ケア「見える化」システム（事業所分析・各年9月）によります。延べ利用日数でみた稼働率は、介護老人福祉施設98.8％・介護老人保健施設91.9％と高い一方、地域密着型介護老人福祉施設入所者生活介護は令和５年に定員を20人から30人に増やした後も78.7％（令和７年）にとどまり、約6人分が埋まっていません。短期入所の利用者は月27人から14人へほぼ半減し、施設・居住系の介護職員（常勤換算）は82.8人から80.5人、定員100人あたりで50.8人から46.5人に減っています。地域密着型の空きが職員不足による受入れの制限によるものかを確かめ、第１０期の見込量の扱いを第３回でご協議いただ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①調査又は実績で裏付けのある事実があること、②第１０期の３年間で打ち手があること、の２つを基準に５本に集約しました（計画素案3-4）。</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第1回策定委員会で報告された1ユニット分の人員の削減、訪問介護の従業者が常勤換算4.5人、施設・居住系の介護職員（常勤換算）82.8人→80.5人、給付費の平坦化（令和7年度0.8％減）</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見込量確保の方策、介護人材の確保、事業所との対話（第7章）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家族介護もサービス利用もない世帯50件（36.2％）。「単身世帯かつ家族介護なし」では24件中20件（83.3％）が施設入所を申込済み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家族介護者への支援、見守り、ケアマネジメント（第5章5-3）</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後期高齢者の増加と重度化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75歳以上が4年で＋15.4％（令和7年度末1,742人）。要介護1・2の平均要介護度の伸びは全国1,580位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介護予防、重度化予防、KPIによる成果の確認（第5章5-1・5-4、第10章）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外出時の移動手段は自動車（自分で運転）74.1％・路線バス5.4％。外出を控えている方19.1％</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移動支援3制度、通いの場（第5章5-3・5-4）</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家族・友人以外に相談できる相手が「いない」38.8％、認知症相談窓口を知らない52.3％</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相談体制、アウトリーチ、認知症施策（第5章5-4、第6章）</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初の計画素案は課題を起点とした６つの基本目標により体系化しており、章立てが異なっていました。現在の計画素案は、下の事務局案Ｃにより組んでいます（７つの柱）。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当初の計画素案の６つの基本目標により体系化する（認知症施策を独立章とし、家族介護者支援・移動支援の再構築・広域医療連携を施策として立てる）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町ご提示の体系（案）と当初の計画素案の基本目標との対応は次のとおりです。章立ての違いのほか、双方に相手方へ対応する項がない施策群があります。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当初の計画素案の基本目標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当初の計画素案に記載のない事業が10件、当初の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なお、計画素案は町のご回答（令和８年９月25日）によりＣ案で仮に組んでおり、委員会のご承認の前のものです。Ａ又はＢとなった場合は、第５章から第８章の節・項を組み替え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認知症対応型共同生活介護、地域密着型介護老人福祉施設入所者生活介護及び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5,931円（▲212円）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6,355円（＋212円）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約29.9万円）により10人分を増減させており、10人で月額約212円動きます（1円未満四捨五入。基金の取崩しの額によらず同じ幅です）。計画素案の保険料算定と同じ式によるものです。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宮城県の高齢者福祉圏域である仙南圏域（２市７町）には、定期巡回・随時対応型訪問介護看護が２事業所（白石市・角田市）、看護小規模多機能型居宅介護が２事業所（白石市・角田市）、小規模多機能型居宅介護が４事業所（村田町・柴田町・白石市）あり、夜間対応型訪問介護はありません（介護サービス情報公表システム、令和８年６月末時点）。町外の地域密着型サービスの利用には本町による指定が要り、その状況をご確認いただいています【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事務局案Ｂは、基金残高の見通しと第11期以降の保険料の平準化を踏まえ、比較案の一つとして50％取崩しを示すもので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確定値）を基礎として算定しました。第１０期の保険料は、下の要因が定まるまでは試算です。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第１０期保険料の現時点の試算（令和７年度の介護保険事業状況報告等を基礎に算定。基金取崩額・令和９年度の報酬改定等は未確定）</w:t>
      </w:r>
      <w:r>
        <w:rPr>
          <w:rFonts w:ascii="BIZ UDPゴシック" w:eastAsia="BIZ UDPゴシック" w:hAnsi="BIZ UDPゴシック"/>
          <w:b/>
          <w:bCs/>
          <w:sz w:val="23"/>
          <w:szCs w:val="23"/>
        </w:rPr>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０％（令和7年度の単価で固定・本試算）</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6,208円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5,529円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6,339円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5,659円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保険料を動かす要因（算定Ａ 6,822円＝基金の取崩しなしを基準）</w:t>
      </w:r>
      <w:r>
        <w:rPr>
          <w:rFonts w:ascii="BIZ UDPゴシック" w:eastAsia="BIZ UDPゴシック" w:hAnsi="BIZ UDPゴシック"/>
          <w:b/>
          <w:bCs/>
          <w:sz w:val="23"/>
          <w:szCs w:val="23"/>
        </w:rPr>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＋66円（算定Ｂ・Ｃでは＋65円）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＋196円（算定Ｂでは＋196円、算定Ｃでは＋195円）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＋212円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▲212円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上の差額は、算定Ａ（取崩しなし）を基準とした値です。基金の取崩しは保険料収納必要額から一定額を差し引くものであるため、報酬改定・負担割合・調整交付金・入所・居住系の人数による差は、算定Ｂ・Ｃでもほぼ同じです。予定収納率による差は、取崩し後の額に比例するため、算定Ｂ・Ｃでは小さく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介護給付費準備基金の令和８年度末残高の見込額（決算による確定は令和９年度）</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町財政担当にご確認をお願い中。第３回策定委員会では見込額を用います</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７．交付金の評価と取り戻しをめざす27点</w:t>
      </w:r>
      <w:r>
        <w:rPr>
          <w:rFonts w:ascii="BIZ UDPゴシック" w:eastAsia="BIZ UDPゴシック" w:hAnsi="BIZ UDPゴシック"/>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市町村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取り戻せるか（見込み）</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市町村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市町村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宮城県平均（本町の県内順位／35市町村）</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全国1,741市町村</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同規模かつ過疎285市町村</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市町村は全国1,741市町村のうち６団体のみで、本町の353点はそれに次ぐ水準にあります。とくに推進交付金 目標Ⅲ（介護人材の確保その他のサービス提供基盤の整備）の体制・取組指標群は64点満点で、全国で最も高い得点です（同じ64点の市町村は165団体）。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市町村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は、「評価結果の活用」の要件イ（庁外の関係者の参画）に当たる取組の一つとなり得ます。評価指標は「地域ケア会議や計画策定委員会等既存の会議体に、議題を追加して報告」することで足りるとしています。評価は、国の該当状況調査への回答と、本日の議事の記録・反映の結果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は計画に近い一方、居宅サービスは計画を下回り、施設サービスは上回りました。この乖離には、町内の在宅サービスの供給余力が乏しいこと（訪問介護の従業者は常勤換算4.5人）と、住所地特例24人（令和８年３月末）に表れる町外施設の利用の常態化が影響した可能性がありますが、在宅から施設等への移行の実態及び原因は確かめられていません（町内外別の利用者数や経年の推移等による追加の検証を要します）。第１０期のサービス見込量は、令和７年度の利用実績を出発点としているため、この利用の構成が続くことを前提と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は、この要件に当たる取組の一つとなり得ます（評価は国の該当状況調査への回答と記録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長期総合計画との関係と、宮城県の第１０期みやぎ高齢者元気プラン（骨子（案））との対応を明記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サービス供給体制の状況を新設（公表情報により町内８事業所の14の指定を把握）。調査結果は第9期調査との比較・体格（BMI）と低栄養リスクを追加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KPI管理表を新設。計画の公表・実施状況の評価・意見聴取（認知症基本法第13条第3項が準用する第12条第3項から第7項まで）を明記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当初の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当初の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第５章・第６章の17表。134事業と再掲４件）には、何をする事業なのかが分かるよう「内容」の欄を設けています。現在の計画素案は本文118頁で、資料編（見込13頁）を加えると計131頁となり、仕様書８の「100頁程度」を31頁上回ります。詳細な分析を別冊に移すことで、本文を106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106頁程度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＋19頁程度</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rPr>
          <w:cantSplit/>
        </w:trPr>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仕様書８の「100頁程度」を本文のみと読む場合でも、別冊に移した後の本文は106頁程度であり、なお６頁程度の圧縮を要します。資料編13頁を含めるかどうかを含めてご判断をお願いします。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宮城県への事前協議の開始（介護保険法第117条第13項）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rPr>
          <w:cantSplit/>
        </w:trPr>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いません。回数を全３回とすることは、委託仕様書６(3)に定められた予定の変更に当たるため、町の契約担当で契約上の手続（変更契約又は書面による合意の要否）をご確認いただき、町が書面で決定します。本日は、工程の見通しについてご意見をいただき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回数は、契約上の手続を確かめたうえで町が書面で決定します。本日は工程の見通しについてご意見をお願いします。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交付金の評価結果のご報告（７）。ご報告し、ご意見をいただくことは「評価結果の活用」の要件に当たる取組の一つとなり得ます（評価は国の該当状況調査への回答と議事の記録によります）</w:t>
      </w:r>
      <w:r>
        <w:rPr>
          <w:rFonts w:ascii="BIZ UDPゴシック" w:eastAsia="BIZ UDPゴシック" w:hAnsi="BIZ UDPゴシック"/>
          <w:sz w:val="22"/>
          <w:szCs w:val="22"/>
        </w:rPr>
      </w:r>
    </w:p>
    <w:p w14:paraId="7E1007D2" w14:textId="77777777" w:rsidR="003F1968" w:rsidRPr="00AF4EBE" w:rsidRDefault="00000000" w:rsidP="00AF4EB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sz w:val="22"/>
          <w:szCs w:val="22"/>
        </w:rPr>
        <w:t>⑦　パブリックコメントの開始日のご選択と、策定委員会の回数（全３回とするか全４回とするか）についてのご意見（８）。回数は契約上の手続を確かめたうえで町が書面で決定します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