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委員からの想定質問と回答ポイント（全64問・8カテゴリ）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カテゴリ構成（全64問）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２（第1回のご意見の表）・４（重点課題5本の表）、計画素案Ver.2.23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 いずれの資料にもないものは4件（入所前の居所・経営の状況・町への要望・短期入所の稼働）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訂正が11件に増えたが、資料は信用してよいのか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訂正の内容は、いずれも数値の読み方と出所の取り違えであり、算定の方法そのものの誤りではありません。No.1〜7は保険料試算の内部整合を検算して見つけたもので、算定式に印字されている値だけを用いて全39項目を検算しています。No.8〜11は、計画素案を介護サービス情報公表システムの公表値と突き合わせる過程で見つけたものです。⚠ 同じ数値を2つの資料に別々に書かず、出所を1か所に固定する形に改めています。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２（訂正の表・11件）。保険料の検算39項目すべて適合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３（追加調査の結果・給付費の推移の表）、計画素案Ver.2.23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 施設単位の休止は県の調査で分かりますが、床単位で休止なのか空床なのかの別は、いずれの資料にもありません。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宮城県「老人福祉施設等入所状況調」によると、町内にあった軽費老人ホーム（定員70人）は、令和5年10月1日時点で休止中となり、令和6年4月1日以降は掲載されていません。第9期計画期間が始まる直前に、町内の高齢者向けの住まい70人分が失われたことになります。⚠ 軽費老人ホームは老人福祉法に基づく施設で、介護保険の指定事業所ではないため、介護サービス情報公表システムには載りません。休止・廃止の経緯と、入居されていた方の行き先を確認しており、結果は第3回で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宮城県「老人福祉施設等入所状況調」（令和5年10月1日「休止中」・令和6年4月1日以降掲載なし）</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選択５の表、計画素案Ver.2.23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65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６（介護報酬改定率別の算定表・保険料を動かす要因の表）。改定率1％＝月額＋65円、3％＝＋196円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247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計画素案Ver.2.23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109頁・資料編13頁の計122頁です。詳細な分析（交付金の枝番の分析、保険料の感度分析、認知症施策の追加候補）を別冊に移す圧縮案では本文102頁・計115頁となります。「100頁程度」を本文のみと読むのであれば、圧縮案の本文102頁で収まり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８（計画書の頁数の見通しの表）。素案Ver.2.9 本文109頁、v2.9c 圧縮案 本文102頁、別冊「詳細分析」9頁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計画素案Ver.2.23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計画書が117頁では、仕様書の「100頁程度」を超えるのではないか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117頁で、資料編（見込13頁）を加えると計130頁です。詳細な分析を別冊に移す圧縮案では本文106頁程度になります。⚠「100頁程度」を本文のみと読むか資料編を含めて読むかで扱いが変わりますので、町とご相談のうえ定めたいと考えています。なお圧縮案は現在の素案より前の版のままですので、作り直す必要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８（頁数の見通しの表）。素案Ver.2.23 本文117頁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算定における交付金の取扱いも、令和8年度の交付実績を据え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計画素案Ver.2.23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計画素案Ver.2.23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