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は「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の評価における「アウトリーチ等の取組状況」の得点が2.0点であり、全国平均5.1点に対し39.2％です（第3章第4節）。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④保険者機能強化推進交付金等による外部評価の分析により評価するものです。①から④は、いずれも令和6年度・令和7年度の2か年で成立し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7"/>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8"/>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39"/>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32" name="Picture 32"/>
            <wp:cNvGraphicFramePr>
              <a:graphicFrameLocks noChangeAspect="1"/>
            </wp:cNvGraphicFramePr>
            <a:graphic>
              <a:graphicData uri="http://schemas.openxmlformats.org/drawingml/2006/picture">
                <pic:pic>
                  <pic:nvPicPr>
                    <pic:cNvPr id="0" name="fig26_1_kofukin.png"/>
                    <pic:cNvPicPr/>
                  </pic:nvPicPr>
                  <pic:blipFill>
                    <a:blip r:embed="rId40"/>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成果指標群と活動指標群の得点に差がある</w:t>
      </w:r>
    </w:p>
    <w:p>
      <w:pPr>
        <w:spacing w:before="140" w:after="20"/>
        <w:jc w:val="center"/>
      </w:pPr>
      <w:r>
        <w:drawing>
          <wp:inline xmlns:a="http://schemas.openxmlformats.org/drawingml/2006/main" xmlns:pic="http://schemas.openxmlformats.org/drawingml/2006/picture">
            <wp:extent cx="5976000" cy="3591537"/>
            <wp:docPr id="33" name="Picture 33"/>
            <wp:cNvGraphicFramePr>
              <a:graphicFrameLocks noChangeAspect="1"/>
            </wp:cNvGraphicFramePr>
            <a:graphic>
              <a:graphicData uri="http://schemas.openxmlformats.org/drawingml/2006/picture">
                <pic:pic>
                  <pic:nvPicPr>
                    <pic:cNvPr id="0" name="fig26_2_shihyogun.png"/>
                    <pic:cNvPicPr/>
                  </pic:nvPicPr>
                  <pic:blipFill>
                    <a:blip r:embed="rId41"/>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の差が、①事業を実施していないこと、②実施しているが国の要件を満たしていないこと、③実施しているが国の様式で記録又は報告していないことのいずれによるかは、評価調書（資料No.5）を受領して確認します。現時点では未確認です。</w:t>
      </w:r>
    </w:p>
    <w:p>
      <w:pPr>
        <w:spacing w:after="80"/>
      </w:pPr>
      <w:r>
        <w:rPr>
          <w:rFonts w:ascii="游ゴシック" w:hAnsi="游ゴシック" w:eastAsia="游ゴシック"/>
          <w:b w:val="0"/>
          <w:sz w:val="20"/>
        </w:rPr>
        <w:t>第9期計画の第5章は「主な取組・管理指標・主体」の3列の表のみで、現状と課題、根拠データ、実施事業、アウトプット目標を持っていません。また、第9期計画には代表KPIの検証を計画期末に行う旨のみが定められており、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これらと交付金の得点との関係は現時点では確認していませんが、第10期で第5章をロジックモデルの構成に改め（第5章）、年次の進行管理の手順を定める（第1章第6節）ことにより、施策の実施状況を年度ごとに把握できるようにな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4" name="Picture 34"/>
            <wp:cNvGraphicFramePr>
              <a:graphicFrameLocks noChangeAspect="1"/>
            </wp:cNvGraphicFramePr>
            <a:graphic>
              <a:graphicData uri="http://schemas.openxmlformats.org/drawingml/2006/picture">
                <pic:pic>
                  <pic:nvPicPr>
                    <pic:cNvPr id="0" name="fig26_3_mokuhyo.png"/>
                    <pic:cNvPicPr/>
                  </pic:nvPicPr>
                  <pic:blipFill>
                    <a:blip r:embed="rId42"/>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5" name="Picture 35"/>
            <wp:cNvGraphicFramePr>
              <a:graphicFrameLocks noChangeAspect="1"/>
            </wp:cNvGraphicFramePr>
            <a:graphic>
              <a:graphicData uri="http://schemas.openxmlformats.org/drawingml/2006/picture">
                <pic:pic>
                  <pic:nvPicPr>
                    <pic:cNvPr id="0" name="fig30_kpi_source.png"/>
                    <pic:cNvPicPr/>
                  </pic:nvPicPr>
                  <pic:blipFill>
                    <a:blip r:embed="rId43"/>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理由は未確認ですが（第3章第4節）、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6,684円</w:t>
            </w:r>
          </w:p>
        </w:tc>
        <w:tc>
          <w:tcPr>
            <w:tcW w:type="dxa" w:w="1587"/>
          </w:tcPr>
          <w:p>
            <w:r/>
            <w:r>
              <w:rPr>
                <w:rFonts w:ascii="游ゴシック" w:hAnsi="游ゴシック" w:eastAsia="游ゴシック"/>
                <w:sz w:val="17"/>
              </w:rPr>
              <w:t>6,755円</w:t>
            </w:r>
          </w:p>
        </w:tc>
        <w:tc>
          <w:tcPr>
            <w:tcW w:type="dxa" w:w="1020"/>
          </w:tcPr>
          <w:p>
            <w:r/>
            <w:r>
              <w:rPr>
                <w:rFonts w:ascii="游ゴシック" w:hAnsi="游ゴシック" w:eastAsia="游ゴシック"/>
                <w:sz w:val="17"/>
              </w:rPr>
              <w:t>＋71円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550.2</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10,594.0</w:t>
            </w:r>
          </w:p>
        </w:tc>
        <w:tc>
          <w:tcPr>
            <w:tcW w:type="dxa" w:w="1001"/>
          </w:tcPr>
          <w:p>
            <w:r/>
            <w:r>
              <w:rPr>
                <w:rFonts w:ascii="游ゴシック" w:hAnsi="游ゴシック" w:eastAsia="游ゴシック"/>
                <w:sz w:val="17"/>
              </w:rPr>
              <w:t>3,470.0</w:t>
            </w:r>
          </w:p>
        </w:tc>
        <w:tc>
          <w:tcPr>
            <w:tcW w:type="dxa" w:w="1001"/>
          </w:tcPr>
          <w:p>
            <w:r/>
            <w:r>
              <w:rPr>
                <w:rFonts w:ascii="游ゴシック" w:hAnsi="游ゴシック" w:eastAsia="游ゴシック"/>
                <w:sz w:val="17"/>
              </w:rPr>
              <w:t>3,531.9</w:t>
            </w:r>
          </w:p>
        </w:tc>
        <w:tc>
          <w:tcPr>
            <w:tcW w:type="dxa" w:w="1001"/>
          </w:tcPr>
          <w:p>
            <w:r/>
            <w:r>
              <w:rPr>
                <w:rFonts w:ascii="游ゴシック" w:hAnsi="游ゴシック" w:eastAsia="游ゴシック"/>
                <w:sz w:val="17"/>
              </w:rPr>
              <w:t>3,592.1</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6" name="Picture 36"/>
            <wp:cNvGraphicFramePr>
              <a:graphicFrameLocks noChangeAspect="1"/>
            </wp:cNvGraphicFramePr>
            <a:graphic>
              <a:graphicData uri="http://schemas.openxmlformats.org/drawingml/2006/picture">
                <pic:pic>
                  <pic:nvPicPr>
                    <pic:cNvPr id="0" name="fig29_1_hokenryo.png"/>
                    <pic:cNvPicPr/>
                  </pic:nvPicPr>
                  <pic:blipFill>
                    <a:blip r:embed="rId44"/>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7" name="Picture 37"/>
            <wp:cNvGraphicFramePr>
              <a:graphicFrameLocks noChangeAspect="1"/>
            </wp:cNvGraphicFramePr>
            <a:graphic>
              <a:graphicData uri="http://schemas.openxmlformats.org/drawingml/2006/picture">
                <pic:pic>
                  <pic:nvPicPr>
                    <pic:cNvPr id="0" name="fig29_2_kannai.png"/>
                    <pic:cNvPicPr/>
                  </pic:nvPicPr>
                  <pic:blipFill>
                    <a:blip r:embed="rId45"/>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6,755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550,152,777</w:t>
            </w:r>
          </w:p>
        </w:tc>
        <w:tc>
          <w:tcPr>
            <w:tcW w:type="dxa" w:w="794"/>
          </w:tcPr>
          <w:p>
            <w:r/>
            <w:r>
              <w:rPr>
                <w:rFonts w:ascii="游ゴシック" w:hAnsi="游ゴシック" w:eastAsia="游ゴシック"/>
                <w:sz w:val="17"/>
              </w:rPr>
              <w:t>92.7％</w:t>
            </w:r>
          </w:p>
        </w:tc>
        <w:tc>
          <w:tcPr>
            <w:tcW w:type="dxa" w:w="2494"/>
          </w:tcPr>
          <w:p>
            <w:r/>
            <w:r>
              <w:rPr>
                <w:rFonts w:ascii="游ゴシック" w:hAnsi="游ゴシック" w:eastAsia="游ゴシック"/>
                <w:sz w:val="17"/>
              </w:rPr>
              <w:t>令和6年度決算額×3年</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10,594,014,467</w:t>
            </w:r>
          </w:p>
        </w:tc>
        <w:tc>
          <w:tcPr>
            <w:tcW w:type="dxa" w:w="794"/>
          </w:tcPr>
          <w:p>
            <w:r/>
            <w:r>
              <w:rPr>
                <w:rFonts w:ascii="游ゴシック" w:hAnsi="游ゴシック" w:eastAsia="游ゴシック"/>
                <w:sz w:val="17"/>
              </w:rPr>
              <w:t>104.8％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2,436,623,327</w:t>
            </w:r>
          </w:p>
        </w:tc>
        <w:tc>
          <w:tcPr>
            <w:tcW w:type="dxa" w:w="794"/>
          </w:tcPr>
          <w:p>
            <w:r/>
            <w:r>
              <w:rPr>
                <w:rFonts w:ascii="游ゴシック" w:hAnsi="游ゴシック" w:eastAsia="游ゴシック"/>
                <w:sz w:val="17"/>
              </w:rPr>
              <w:t>104.8％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517,384,278</w:t>
            </w:r>
          </w:p>
        </w:tc>
        <w:tc>
          <w:tcPr>
            <w:tcW w:type="dxa" w:w="794"/>
          </w:tcPr>
          <w:p>
            <w:r/>
            <w:r>
              <w:rPr>
                <w:rFonts w:ascii="游ゴシック" w:hAnsi="游ゴシック" w:eastAsia="游ゴシック"/>
                <w:sz w:val="17"/>
              </w:rPr>
              <w:t>105.0％</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763,190,839</w:t>
            </w:r>
          </w:p>
        </w:tc>
        <w:tc>
          <w:tcPr>
            <w:tcW w:type="dxa" w:w="794"/>
          </w:tcPr>
          <w:p>
            <w:r/>
            <w:r>
              <w:rPr>
                <w:rFonts w:ascii="游ゴシック" w:hAnsi="游ゴシック" w:eastAsia="游ゴシック"/>
                <w:sz w:val="17"/>
              </w:rPr>
              <w:t>105.0％</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2,190,816,766</w:t>
            </w:r>
          </w:p>
        </w:tc>
        <w:tc>
          <w:tcPr>
            <w:tcW w:type="dxa" w:w="794"/>
          </w:tcPr>
          <w:p>
            <w:r/>
            <w:r>
              <w:rPr>
                <w:rFonts w:ascii="游ゴシック" w:hAnsi="游ゴシック" w:eastAsia="游ゴシック"/>
                <w:sz w:val="17"/>
              </w:rPr>
              <w:t>106.8％</w:t>
            </w:r>
          </w:p>
        </w:tc>
        <w:tc>
          <w:tcPr>
            <w:tcW w:type="dxa" w:w="2494"/>
          </w:tcPr>
          <w:p>
            <w:r/>
            <w:r>
              <w:rPr>
                <w:rFonts w:ascii="游ゴシック" w:hAnsi="游ゴシック" w:eastAsia="游ゴシック"/>
                <w:sz w:val="17"/>
              </w:rPr>
              <w:t>C＋D－E－I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6,755円</w:t>
            </w:r>
          </w:p>
        </w:tc>
        <w:tc>
          <w:tcPr>
            <w:tcW w:type="dxa" w:w="794"/>
          </w:tcPr>
          <w:p>
            <w:r/>
            <w:r>
              <w:rPr>
                <w:rFonts w:ascii="游ゴシック" w:hAnsi="游ゴシック" w:eastAsia="游ゴシック"/>
                <w:sz w:val="17"/>
              </w:rPr>
              <w:t>105.1％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8" name="Picture 38"/>
            <wp:cNvGraphicFramePr>
              <a:graphicFrameLocks noChangeAspect="1"/>
            </wp:cNvGraphicFramePr>
            <a:graphic>
              <a:graphicData uri="http://schemas.openxmlformats.org/drawingml/2006/picture">
                <pic:pic>
                  <pic:nvPicPr>
                    <pic:cNvPr id="0" name="fig33_hokenryo.png"/>
                    <pic:cNvPicPr/>
                  </pic:nvPicPr>
                  <pic:blipFill>
                    <a:blip r:embed="rId46"/>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9" name="Picture 39"/>
            <wp:cNvGraphicFramePr>
              <a:graphicFrameLocks noChangeAspect="1"/>
            </wp:cNvGraphicFramePr>
            <a:graphic>
              <a:graphicData uri="http://schemas.openxmlformats.org/drawingml/2006/picture">
                <pic:pic>
                  <pic:nvPicPr>
                    <pic:cNvPr id="0" name="fig33_2_yoin.png"/>
                    <pic:cNvPicPr/>
                  </pic:nvPicPr>
                  <pic:blipFill>
                    <a:blip r:embed="rId47"/>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355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29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6,159円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7,081円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7,037円</w:t>
            </w:r>
          </w:p>
        </w:tc>
        <w:tc>
          <w:tcPr>
            <w:tcW w:type="dxa" w:w="1134"/>
          </w:tcPr>
          <w:p>
            <w:r/>
            <w:r>
              <w:rPr>
                <w:rFonts w:ascii="游ゴシック" w:hAnsi="游ゴシック" w:eastAsia="游ゴシック"/>
                <w:sz w:val="17"/>
              </w:rPr>
              <w:t>＋282円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6,592円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6,695円</w:t>
            </w:r>
          </w:p>
        </w:tc>
        <w:tc>
          <w:tcPr>
            <w:tcW w:type="dxa" w:w="1134"/>
          </w:tcPr>
          <w:p>
            <w:r/>
            <w:r>
              <w:rPr>
                <w:rFonts w:ascii="游ゴシック" w:hAnsi="游ゴシック" w:eastAsia="游ゴシック"/>
                <w:sz w:val="17"/>
              </w:rPr>
              <w:t>▲60円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6,040円</w:t>
            </w:r>
          </w:p>
        </w:tc>
        <w:tc>
          <w:tcPr>
            <w:tcW w:type="dxa" w:w="1134"/>
          </w:tcPr>
          <w:p>
            <w:r/>
            <w:r>
              <w:rPr>
                <w:rFonts w:ascii="游ゴシック" w:hAnsi="游ゴシック" w:eastAsia="游ゴシック"/>
                <w:sz w:val="17"/>
              </w:rPr>
              <w:t>▲715円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