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協議用素案（令和8年9月時点）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令和8（2026）年9月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【法令が定める手続】</w:t>
      </w:r>
    </w:p>
    <w:p>
      <w:pPr>
        <w:spacing w:after="80"/>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20"/>
          </w:tcPr>
          <w:p>
            <w:r/>
            <w:r>
              <w:rPr>
                <w:rFonts w:ascii="游ゴシック" w:hAnsi="游ゴシック" w:eastAsia="游ゴシック"/>
                <w:b/>
                <w:sz w:val="17"/>
              </w:rPr>
              <w:t>手続</w:t>
            </w:r>
          </w:p>
        </w:tc>
        <w:tc>
          <w:tcPr>
            <w:tcW w:type="dxa" w:w="4664"/>
          </w:tcPr>
          <w:p>
            <w:r/>
            <w:r>
              <w:rPr>
                <w:rFonts w:ascii="游ゴシック" w:hAnsi="游ゴシック" w:eastAsia="游ゴシック"/>
                <w:b/>
                <w:sz w:val="17"/>
              </w:rPr>
              <w:t>内容</w:t>
            </w:r>
          </w:p>
        </w:tc>
        <w:tc>
          <w:tcPr>
            <w:tcW w:type="dxa" w:w="1484"/>
          </w:tcPr>
          <w:p>
            <w:r/>
            <w:r>
              <w:rPr>
                <w:rFonts w:ascii="游ゴシック" w:hAnsi="游ゴシック" w:eastAsia="游ゴシック"/>
                <w:b/>
                <w:sz w:val="17"/>
              </w:rPr>
              <w:t>時期</w:t>
            </w:r>
          </w:p>
        </w:tc>
        <w:tc>
          <w:tcPr>
            <w:tcW w:type="dxa" w:w="1484"/>
          </w:tcPr>
          <w:p>
            <w:r/>
            <w:r>
              <w:rPr>
                <w:rFonts w:ascii="游ゴシック" w:hAnsi="游ゴシック" w:eastAsia="游ゴシック"/>
                <w:b/>
                <w:sz w:val="17"/>
              </w:rPr>
              <w:t>実施主体</w:t>
            </w:r>
          </w:p>
        </w:tc>
      </w:tr>
      <w:t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【通常の事業の実施地域による確認】</w:t>
      </w:r>
    </w:p>
    <w:p>
      <w:pPr>
        <w:spacing w:after="80"/>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事業所数</w:t>
            </w:r>
          </w:p>
        </w:tc>
        <w:tc>
          <w:tcPr>
            <w:tcW w:type="dxa" w:w="907"/>
          </w:tcPr>
          <w:p>
            <w:r/>
            <w:r>
              <w:rPr>
                <w:rFonts w:ascii="游ゴシック" w:hAnsi="游ゴシック" w:eastAsia="游ゴシック"/>
                <w:b/>
                <w:sz w:val="17"/>
              </w:rPr>
              <w:t>東川町</w:t>
            </w:r>
          </w:p>
        </w:tc>
        <w:tc>
          <w:tcPr>
            <w:tcW w:type="dxa" w:w="907"/>
          </w:tcPr>
          <w:p>
            <w:r/>
            <w:r>
              <w:rPr>
                <w:rFonts w:ascii="游ゴシック" w:hAnsi="游ゴシック" w:eastAsia="游ゴシック"/>
                <w:b/>
                <w:sz w:val="17"/>
              </w:rPr>
              <w:t>美瑛町</w:t>
            </w:r>
          </w:p>
        </w:tc>
        <w:tc>
          <w:tcPr>
            <w:tcW w:type="dxa" w:w="1020"/>
          </w:tcPr>
          <w:p>
            <w:r/>
            <w:r>
              <w:rPr>
                <w:rFonts w:ascii="游ゴシック" w:hAnsi="游ゴシック" w:eastAsia="游ゴシック"/>
                <w:b/>
                <w:sz w:val="17"/>
              </w:rPr>
              <w:t>東神楽町</w:t>
            </w:r>
          </w:p>
        </w:tc>
        <w:tc>
          <w:tcPr>
            <w:tcW w:type="dxa" w:w="3515"/>
          </w:tcPr>
          <w:p>
            <w:r/>
            <w:r>
              <w:rPr>
                <w:rFonts w:ascii="游ゴシック" w:hAnsi="游ゴシック" w:eastAsia="游ゴシック"/>
                <w:b/>
                <w:sz w:val="17"/>
              </w:rPr>
              <w:t>見方</w:t>
            </w:r>
          </w:p>
        </w:tc>
      </w:tr>
      <w:t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jc w:val="right"/>
      </w:pPr>
      <w:r>
        <w:rPr>
          <w:rFonts w:ascii="游ゴシック" w:hAnsi="游ゴシック" w:eastAsia="游ゴシック"/>
          <w:b w:val="0"/>
          <w:sz w:val="17"/>
        </w:rPr>
        <w:t>資料：北海道　介護保険事業所一覧（運営規程の「通常の事業の実施地域」）</w:t>
      </w:r>
    </w:p>
    <w:p>
      <w:pPr>
        <w:spacing w:after="80"/>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【2040年を見据えた地域類型の考え方】</w:t>
      </w:r>
    </w:p>
    <w:p>
      <w:pPr>
        <w:spacing w:after="80"/>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【医療と介護の協議の場の再編成】</w:t>
      </w:r>
    </w:p>
    <w:p>
      <w:pPr>
        <w:spacing w:after="80"/>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773"/>
          </w:tcPr>
          <w:p>
            <w:r/>
            <w:r>
              <w:rPr>
                <w:rFonts w:ascii="游ゴシック" w:hAnsi="游ゴシック" w:eastAsia="游ゴシック"/>
                <w:b/>
                <w:sz w:val="17"/>
              </w:rPr>
              <w:t>事項</w:t>
            </w:r>
          </w:p>
        </w:tc>
        <w:tc>
          <w:tcPr>
            <w:tcW w:type="dxa" w:w="3546"/>
          </w:tcPr>
          <w:p>
            <w:r/>
            <w:r>
              <w:rPr>
                <w:rFonts w:ascii="游ゴシック" w:hAnsi="游ゴシック" w:eastAsia="游ゴシック"/>
                <w:b/>
                <w:sz w:val="17"/>
              </w:rPr>
              <w:t>内容</w:t>
            </w:r>
          </w:p>
        </w:tc>
        <w:tc>
          <w:tcPr>
            <w:tcW w:type="dxa" w:w="1674"/>
          </w:tcPr>
          <w:p>
            <w:r/>
            <w:r>
              <w:rPr>
                <w:rFonts w:ascii="游ゴシック" w:hAnsi="游ゴシック" w:eastAsia="游ゴシック"/>
                <w:b/>
                <w:sz w:val="17"/>
              </w:rPr>
              <w:t>施行等の時期</w:t>
            </w:r>
          </w:p>
        </w:tc>
        <w:tc>
          <w:tcPr>
            <w:tcW w:type="dxa" w:w="2758"/>
          </w:tcPr>
          <w:p>
            <w:r/>
            <w:r>
              <w:rPr>
                <w:rFonts w:ascii="游ゴシック" w:hAnsi="游ゴシック" w:eastAsia="游ゴシック"/>
                <w:b/>
                <w:sz w:val="17"/>
              </w:rPr>
              <w:t>本計画における取扱い</w:t>
            </w:r>
          </w:p>
        </w:tc>
      </w:tr>
      <w:t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w:t>
            </w:r>
          </w:p>
        </w:tc>
      </w:tr>
      <w:t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中に第3段階①及び②をそれぞれ2つに分け、第3段階①イ及び第3段階②イの負担限度額を引き上げる。</w:t>
            </w:r>
          </w:p>
        </w:tc>
        <w:tc>
          <w:tcPr>
            <w:tcW w:type="dxa" w:w="1674"/>
          </w:tcPr>
          <w:p>
            <w:r/>
            <w:r>
              <w:rPr>
                <w:rFonts w:ascii="游ゴシック" w:hAnsi="游ゴシック" w:eastAsia="游ゴシック"/>
                <w:sz w:val="17"/>
              </w:rPr>
              <w:t>令和8年8月及び令和9年度中</w:t>
            </w:r>
          </w:p>
        </w:tc>
        <w:tc>
          <w:tcPr>
            <w:tcW w:type="dxa" w:w="2758"/>
          </w:tcPr>
          <w:p>
            <w:r/>
            <w:r>
              <w:rPr>
                <w:rFonts w:ascii="游ゴシック" w:hAnsi="游ゴシック" w:eastAsia="游ゴシック"/>
                <w:sz w:val="17"/>
              </w:rPr>
              <w:t>第6章第7節に反映します。所得段階の細分化の内容が示された時点で対象者数への影響を確認します［要確認］。</w:t>
            </w:r>
          </w:p>
        </w:tc>
      </w:tr>
      <w:t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w:t>
            </w:r>
          </w:p>
        </w:tc>
        <w:tc>
          <w:tcPr>
            <w:tcW w:type="dxa" w:w="1674"/>
          </w:tcPr>
          <w:p>
            <w:r/>
            <w:r>
              <w:rPr>
                <w:rFonts w:ascii="游ゴシック" w:hAnsi="游ゴシック" w:eastAsia="游ゴシック"/>
                <w:sz w:val="17"/>
              </w:rPr>
              <w:t>令和9年度の開始前までに結論</w:t>
            </w:r>
          </w:p>
        </w:tc>
        <w:tc>
          <w:tcPr>
            <w:tcW w:type="dxa" w:w="2758"/>
          </w:tcPr>
          <w:p>
            <w:r/>
            <w:r>
              <w:rPr>
                <w:rFonts w:ascii="游ゴシック" w:hAnsi="游ゴシック" w:eastAsia="游ゴシック"/>
                <w:sz w:val="17"/>
              </w:rPr>
              <w:t>利用者負担割合の変更は給付費の見込みに影響します。結論が示された時点で第6章第3節の給付費を再算定します［要確認］。</w:t>
            </w:r>
          </w:p>
        </w:tc>
      </w:tr>
      <w:t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【認知症高齢者の状況】</w:t>
      </w:r>
    </w:p>
    <w:p>
      <w:pPr>
        <w:spacing w:after="80"/>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時点</w:t>
            </w:r>
          </w:p>
        </w:tc>
        <w:tc>
          <w:tcPr>
            <w:tcW w:type="dxa" w:w="1928"/>
          </w:tcPr>
          <w:p>
            <w:r/>
            <w:r>
              <w:rPr>
                <w:rFonts w:ascii="游ゴシック" w:hAnsi="游ゴシック" w:eastAsia="游ゴシック"/>
                <w:b/>
                <w:sz w:val="17"/>
              </w:rPr>
              <w:t>認定者数</w:t>
            </w:r>
          </w:p>
        </w:tc>
        <w:tc>
          <w:tcPr>
            <w:tcW w:type="dxa" w:w="2268"/>
          </w:tcPr>
          <w:p>
            <w:r/>
            <w:r>
              <w:rPr>
                <w:rFonts w:ascii="游ゴシック" w:hAnsi="游ゴシック" w:eastAsia="游ゴシック"/>
                <w:b/>
                <w:sz w:val="17"/>
              </w:rPr>
              <w:t>自立度Ⅱ以上の人数</w:t>
            </w:r>
          </w:p>
        </w:tc>
        <w:tc>
          <w:tcPr>
            <w:tcW w:type="dxa" w:w="2268"/>
          </w:tcPr>
          <w:p>
            <w:r/>
            <w:r>
              <w:rPr>
                <w:rFonts w:ascii="游ゴシック" w:hAnsi="游ゴシック" w:eastAsia="游ゴシック"/>
                <w:b/>
                <w:sz w:val="17"/>
              </w:rPr>
              <w:t>認定者に占める割合</w:t>
            </w:r>
          </w:p>
        </w:tc>
      </w:tr>
      <w:t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jc w:val="right"/>
      </w:pPr>
      <w:r>
        <w:rPr>
          <w:rFonts w:ascii="游ゴシック" w:hAnsi="游ゴシック" w:eastAsia="游ゴシック"/>
          <w:b w:val="0"/>
          <w:sz w:val="17"/>
        </w:rPr>
        <w:t>資料：地域包括ケア「見える化」システム B7系列（認知症高齢者自立度の状況）</w:t>
      </w:r>
    </w:p>
    <w:p>
      <w:pPr>
        <w:spacing w:after="160"/>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【運営法人の状況】</w:t>
      </w:r>
    </w:p>
    <w:p>
      <w:pPr>
        <w:spacing w:after="80"/>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28"/>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事業所数</w:t>
            </w:r>
          </w:p>
        </w:tc>
        <w:tc>
          <w:tcPr>
            <w:tcW w:type="dxa" w:w="1928"/>
          </w:tcPr>
          <w:p>
            <w:r/>
            <w:r>
              <w:rPr>
                <w:rFonts w:ascii="游ゴシック" w:hAnsi="游ゴシック" w:eastAsia="游ゴシック"/>
                <w:b/>
                <w:sz w:val="17"/>
              </w:rPr>
              <w:t>実事業所に対する割合</w:t>
            </w:r>
          </w:p>
        </w:tc>
        <w:tc>
          <w:tcPr>
            <w:tcW w:type="dxa" w:w="2948"/>
          </w:tcPr>
          <w:p>
            <w:r/>
            <w:r>
              <w:rPr>
                <w:rFonts w:ascii="游ゴシック" w:hAnsi="游ゴシック" w:eastAsia="游ゴシック"/>
                <w:b/>
                <w:sz w:val="17"/>
              </w:rPr>
              <w:t>備考</w:t>
            </w:r>
          </w:p>
        </w:tc>
      </w:tr>
      <w:t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jc w:val="right"/>
      </w:pPr>
      <w:r>
        <w:rPr>
          <w:rFonts w:ascii="游ゴシック" w:hAnsi="游ゴシック" w:eastAsia="游ゴシック"/>
          <w:b w:val="0"/>
          <w:sz w:val="17"/>
        </w:rPr>
        <w:t>資料：北海道　介護保険事業所一覧（令和8年6月30日現在）</w:t>
      </w:r>
    </w:p>
    <w:p>
      <w:pPr>
        <w:spacing w:after="80"/>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【調査の対象者の範囲】</w:t>
      </w:r>
    </w:p>
    <w:p>
      <w:pPr>
        <w:spacing w:after="80"/>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【1　主要指標の状況】</w:t>
      </w:r>
    </w:p>
    <w:p>
      <w:pPr>
        <w:spacing w:after="80"/>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51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広域連合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　年齢構成の影響と町間の差】</w:t>
      </w:r>
    </w:p>
    <w:p>
      <w:pPr>
        <w:spacing w:after="80"/>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268"/>
          </w:tcPr>
          <w:p>
            <w:r/>
            <w:r>
              <w:rPr>
                <w:rFonts w:ascii="游ゴシック" w:hAnsi="游ゴシック" w:eastAsia="游ゴシック"/>
                <w:b/>
                <w:sz w:val="17"/>
              </w:rPr>
              <w:t>指標</w:t>
            </w:r>
          </w:p>
        </w:tc>
        <w:tc>
          <w:tcPr>
            <w:tcW w:type="dxa" w:w="1191"/>
          </w:tcPr>
          <w:p>
            <w:r/>
            <w:r>
              <w:rPr>
                <w:rFonts w:ascii="游ゴシック" w:hAnsi="游ゴシック" w:eastAsia="游ゴシック"/>
                <w:b/>
                <w:sz w:val="17"/>
              </w:rPr>
              <w:t>東川町</w:t>
              <w:br/>
              <w:t>粗率</w:t>
            </w:r>
          </w:p>
        </w:tc>
        <w:tc>
          <w:tcPr>
            <w:tcW w:type="dxa" w:w="1191"/>
          </w:tcPr>
          <w:p>
            <w:r/>
            <w:r>
              <w:rPr>
                <w:rFonts w:ascii="游ゴシック" w:hAnsi="游ゴシック" w:eastAsia="游ゴシック"/>
                <w:b/>
                <w:sz w:val="17"/>
              </w:rPr>
              <w:t>東川町</w:t>
              <w:br/>
              <w:t>調整</w:t>
            </w:r>
          </w:p>
        </w:tc>
        <w:tc>
          <w:tcPr>
            <w:tcW w:type="dxa" w:w="1191"/>
          </w:tcPr>
          <w:p>
            <w:r/>
            <w:r>
              <w:rPr>
                <w:rFonts w:ascii="游ゴシック" w:hAnsi="游ゴシック" w:eastAsia="游ゴシック"/>
                <w:b/>
                <w:sz w:val="17"/>
              </w:rPr>
              <w:t>美瑛町</w:t>
              <w:br/>
              <w:t>粗率</w:t>
            </w:r>
          </w:p>
        </w:tc>
        <w:tc>
          <w:tcPr>
            <w:tcW w:type="dxa" w:w="1191"/>
          </w:tcPr>
          <w:p>
            <w:r/>
            <w:r>
              <w:rPr>
                <w:rFonts w:ascii="游ゴシック" w:hAnsi="游ゴシック" w:eastAsia="游ゴシック"/>
                <w:b/>
                <w:sz w:val="17"/>
              </w:rPr>
              <w:t>美瑛町</w:t>
              <w:br/>
              <w:t>調整</w:t>
            </w:r>
          </w:p>
        </w:tc>
        <w:tc>
          <w:tcPr>
            <w:tcW w:type="dxa" w:w="1191"/>
          </w:tcPr>
          <w:p>
            <w:r/>
            <w:r>
              <w:rPr>
                <w:rFonts w:ascii="游ゴシック" w:hAnsi="游ゴシック" w:eastAsia="游ゴシック"/>
                <w:b/>
                <w:sz w:val="17"/>
              </w:rPr>
              <w:t>東神楽町</w:t>
              <w:br/>
              <w:t>粗率</w:t>
            </w:r>
          </w:p>
        </w:tc>
        <w:tc>
          <w:tcPr>
            <w:tcW w:type="dxa" w:w="1191"/>
          </w:tcPr>
          <w:p>
            <w:r/>
            <w:r>
              <w:rPr>
                <w:rFonts w:ascii="游ゴシック" w:hAnsi="游ゴシック" w:eastAsia="游ゴシック"/>
                <w:b/>
                <w:sz w:val="17"/>
              </w:rPr>
              <w:t>東神楽町</w:t>
              <w:br/>
              <w:t>調整</w:t>
            </w:r>
          </w:p>
        </w:tc>
      </w:tr>
      <w:t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【3　同規模の保険者との比較】</w:t>
      </w:r>
    </w:p>
    <w:p>
      <w:pPr>
        <w:spacing w:after="80"/>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70"/>
          </w:tcPr>
          <w:p>
            <w:r/>
            <w:r>
              <w:rPr>
                <w:rFonts w:ascii="游ゴシック" w:hAnsi="游ゴシック" w:eastAsia="游ゴシック"/>
                <w:b/>
                <w:sz w:val="17"/>
              </w:rPr>
              <w:t>指標</w:t>
            </w:r>
          </w:p>
        </w:tc>
        <w:tc>
          <w:tcPr>
            <w:tcW w:type="dxa" w:w="1274"/>
          </w:tcPr>
          <w:p>
            <w:r/>
            <w:r>
              <w:rPr>
                <w:rFonts w:ascii="游ゴシック" w:hAnsi="游ゴシック" w:eastAsia="游ゴシック"/>
                <w:b/>
                <w:sz w:val="17"/>
              </w:rPr>
              <w:t>大雪地区</w:t>
              <w:br/>
              <w:t>広域連合</w:t>
            </w:r>
          </w:p>
        </w:tc>
        <w:tc>
          <w:tcPr>
            <w:tcW w:type="dxa" w:w="1108"/>
          </w:tcPr>
          <w:p>
            <w:r/>
            <w:r>
              <w:rPr>
                <w:rFonts w:ascii="游ゴシック" w:hAnsi="游ゴシック" w:eastAsia="游ゴシック"/>
                <w:b/>
                <w:sz w:val="17"/>
              </w:rPr>
              <w:t>同規模</w:t>
            </w:r>
          </w:p>
        </w:tc>
        <w:tc>
          <w:tcPr>
            <w:tcW w:type="dxa" w:w="997"/>
          </w:tcPr>
          <w:p>
            <w:r/>
            <w:r>
              <w:rPr>
                <w:rFonts w:ascii="游ゴシック" w:hAnsi="游ゴシック" w:eastAsia="游ゴシック"/>
                <w:b/>
                <w:sz w:val="17"/>
              </w:rPr>
              <w:t>差</w:t>
            </w:r>
          </w:p>
        </w:tc>
        <w:tc>
          <w:tcPr>
            <w:tcW w:type="dxa" w:w="3601"/>
          </w:tcPr>
          <w:p>
            <w:r/>
            <w:r>
              <w:rPr>
                <w:rFonts w:ascii="游ゴシック" w:hAnsi="游ゴシック" w:eastAsia="游ゴシック"/>
                <w:b/>
                <w:sz w:val="17"/>
              </w:rPr>
              <w:t>内容</w:t>
            </w:r>
          </w:p>
        </w:tc>
      </w:tr>
      <w:t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【4　社会参加との関連】</w:t>
      </w:r>
    </w:p>
    <w:p>
      <w:pPr>
        <w:spacing w:after="80"/>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参加あり</w:t>
            </w:r>
          </w:p>
        </w:tc>
        <w:tc>
          <w:tcPr>
            <w:tcW w:type="dxa" w:w="1474"/>
          </w:tcPr>
          <w:p>
            <w:r/>
            <w:r>
              <w:rPr>
                <w:rFonts w:ascii="游ゴシック" w:hAnsi="游ゴシック" w:eastAsia="游ゴシック"/>
                <w:b/>
                <w:sz w:val="17"/>
              </w:rPr>
              <w:t>参加なし</w:t>
            </w:r>
          </w:p>
        </w:tc>
        <w:tc>
          <w:tcPr>
            <w:tcW w:type="dxa" w:w="1247"/>
          </w:tcPr>
          <w:p>
            <w:r/>
            <w:r>
              <w:rPr>
                <w:rFonts w:ascii="游ゴシック" w:hAnsi="游ゴシック" w:eastAsia="游ゴシック"/>
                <w:b/>
                <w:sz w:val="17"/>
              </w:rPr>
              <w:t>差</w:t>
            </w:r>
          </w:p>
        </w:tc>
        <w:tc>
          <w:tcPr>
            <w:tcW w:type="dxa" w:w="2041"/>
          </w:tcPr>
          <w:p>
            <w:r/>
            <w:r>
              <w:rPr>
                <w:rFonts w:ascii="游ゴシック" w:hAnsi="游ゴシック" w:eastAsia="游ゴシック"/>
                <w:b/>
                <w:sz w:val="17"/>
              </w:rPr>
              <w:t>検定</w:t>
            </w:r>
          </w:p>
        </w:tc>
      </w:tr>
      <w:t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【5　暮らし向きとの関連】</w:t>
      </w:r>
    </w:p>
    <w:p>
      <w:pPr>
        <w:spacing w:after="80"/>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494"/>
          </w:tcPr>
          <w:p>
            <w:r/>
            <w:r>
              <w:rPr>
                <w:rFonts w:ascii="游ゴシック" w:hAnsi="游ゴシック" w:eastAsia="游ゴシック"/>
                <w:b/>
                <w:sz w:val="17"/>
              </w:rPr>
              <w:t>指標</w:t>
            </w:r>
          </w:p>
        </w:tc>
        <w:tc>
          <w:tcPr>
            <w:tcW w:type="dxa" w:w="1134"/>
          </w:tcPr>
          <w:p>
            <w:r/>
            <w:r>
              <w:rPr>
                <w:rFonts w:ascii="游ゴシック" w:hAnsi="游ゴシック" w:eastAsia="游ゴシック"/>
                <w:b/>
                <w:sz w:val="17"/>
              </w:rPr>
              <w:t>大変苦しい</w:t>
            </w:r>
          </w:p>
        </w:tc>
        <w:tc>
          <w:tcPr>
            <w:tcW w:type="dxa" w:w="1134"/>
          </w:tcPr>
          <w:p>
            <w:r/>
            <w:r>
              <w:rPr>
                <w:rFonts w:ascii="游ゴシック" w:hAnsi="游ゴシック" w:eastAsia="游ゴシック"/>
                <w:b/>
                <w:sz w:val="17"/>
              </w:rPr>
              <w:t>やや苦しい</w:t>
            </w:r>
          </w:p>
        </w:tc>
        <w:tc>
          <w:tcPr>
            <w:tcW w:type="dxa" w:w="1077"/>
          </w:tcPr>
          <w:p>
            <w:r/>
            <w:r>
              <w:rPr>
                <w:rFonts w:ascii="游ゴシック" w:hAnsi="游ゴシック" w:eastAsia="游ゴシック"/>
                <w:b/>
                <w:sz w:val="17"/>
              </w:rPr>
              <w:t>ふつう</w:t>
            </w:r>
          </w:p>
        </w:tc>
        <w:tc>
          <w:tcPr>
            <w:tcW w:type="dxa" w:w="1304"/>
          </w:tcPr>
          <w:p>
            <w:r/>
            <w:r>
              <w:rPr>
                <w:rFonts w:ascii="游ゴシック" w:hAnsi="游ゴシック" w:eastAsia="游ゴシック"/>
                <w:b/>
                <w:sz w:val="17"/>
              </w:rPr>
              <w:t>ややゆとりがある</w:t>
            </w:r>
          </w:p>
        </w:tc>
        <w:tc>
          <w:tcPr>
            <w:tcW w:type="dxa" w:w="1304"/>
          </w:tcPr>
          <w:p>
            <w:r/>
            <w:r>
              <w:rPr>
                <w:rFonts w:ascii="游ゴシック" w:hAnsi="游ゴシック" w:eastAsia="游ゴシック"/>
                <w:b/>
                <w:sz w:val="17"/>
              </w:rPr>
              <w:t>大変ゆとりがある</w:t>
            </w:r>
          </w:p>
        </w:tc>
        <w:tc>
          <w:tcPr>
            <w:tcW w:type="dxa" w:w="1077"/>
          </w:tcPr>
          <w:p>
            <w:r/>
            <w:r>
              <w:rPr>
                <w:rFonts w:ascii="游ゴシック" w:hAnsi="游ゴシック" w:eastAsia="游ゴシック"/>
                <w:b/>
                <w:sz w:val="17"/>
              </w:rPr>
              <w:t>検定</w:t>
            </w:r>
          </w:p>
        </w:tc>
      </w:tr>
      <w:t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【6　生活実態の主な値】</w:t>
      </w:r>
    </w:p>
    <w:p>
      <w:pPr>
        <w:spacing w:after="80"/>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175"/>
          </w:tcPr>
          <w:p>
            <w:r/>
            <w:r>
              <w:rPr>
                <w:rFonts w:ascii="游ゴシック" w:hAnsi="游ゴシック" w:eastAsia="游ゴシック"/>
                <w:b/>
                <w:sz w:val="17"/>
              </w:rPr>
              <w:t>項目</w:t>
            </w:r>
          </w:p>
        </w:tc>
        <w:tc>
          <w:tcPr>
            <w:tcW w:type="dxa" w:w="1020"/>
          </w:tcPr>
          <w:p>
            <w:r/>
            <w:r>
              <w:rPr>
                <w:rFonts w:ascii="游ゴシック" w:hAnsi="游ゴシック" w:eastAsia="游ゴシック"/>
                <w:b/>
                <w:sz w:val="17"/>
              </w:rPr>
              <w:t>割合</w:t>
            </w:r>
          </w:p>
        </w:tc>
        <w:tc>
          <w:tcPr>
            <w:tcW w:type="dxa" w:w="1020"/>
          </w:tcPr>
          <w:p>
            <w:r/>
            <w:r>
              <w:rPr>
                <w:rFonts w:ascii="游ゴシック" w:hAnsi="游ゴシック" w:eastAsia="游ゴシック"/>
                <w:b/>
                <w:sz w:val="17"/>
              </w:rPr>
              <w:t>分母</w:t>
            </w:r>
          </w:p>
        </w:tc>
        <w:tc>
          <w:tcPr>
            <w:tcW w:type="dxa" w:w="4195"/>
          </w:tcPr>
          <w:p>
            <w:r/>
            <w:r>
              <w:rPr>
                <w:rFonts w:ascii="游ゴシック" w:hAnsi="游ゴシック" w:eastAsia="游ゴシック"/>
                <w:b/>
                <w:sz w:val="17"/>
              </w:rPr>
              <w:t>内容</w:t>
            </w:r>
          </w:p>
        </w:tc>
      </w:tr>
      <w:t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【7　地区別の状況】</w:t>
      </w:r>
    </w:p>
    <w:p>
      <w:pPr>
        <w:spacing w:after="80"/>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41"/>
          </w:tcPr>
          <w:p>
            <w:r/>
            <w:r>
              <w:rPr>
                <w:rFonts w:ascii="游ゴシック" w:hAnsi="游ゴシック" w:eastAsia="游ゴシック"/>
                <w:b/>
                <w:sz w:val="17"/>
              </w:rPr>
              <w:t>町</w:t>
            </w:r>
          </w:p>
        </w:tc>
        <w:tc>
          <w:tcPr>
            <w:tcW w:type="dxa" w:w="2327"/>
          </w:tcPr>
          <w:p>
            <w:r/>
            <w:r>
              <w:rPr>
                <w:rFonts w:ascii="游ゴシック" w:hAnsi="游ゴシック" w:eastAsia="游ゴシック"/>
                <w:b/>
                <w:sz w:val="17"/>
              </w:rPr>
              <w:t>地区</w:t>
            </w:r>
          </w:p>
        </w:tc>
        <w:tc>
          <w:tcPr>
            <w:tcW w:type="dxa" w:w="1108"/>
          </w:tcPr>
          <w:p>
            <w:r/>
            <w:r>
              <w:rPr>
                <w:rFonts w:ascii="游ゴシック" w:hAnsi="游ゴシック" w:eastAsia="游ゴシック"/>
                <w:b/>
                <w:sz w:val="17"/>
              </w:rPr>
              <w:t>回答者数</w:t>
            </w:r>
          </w:p>
        </w:tc>
        <w:tc>
          <w:tcPr>
            <w:tcW w:type="dxa" w:w="1219"/>
          </w:tcPr>
          <w:p>
            <w:r/>
            <w:r>
              <w:rPr>
                <w:rFonts w:ascii="游ゴシック" w:hAnsi="游ゴシック" w:eastAsia="游ゴシック"/>
                <w:b/>
                <w:sz w:val="17"/>
              </w:rPr>
              <w:t>75歳以上</w:t>
              <w:br/>
              <w:t>構成比</w:t>
            </w:r>
          </w:p>
        </w:tc>
        <w:tc>
          <w:tcPr>
            <w:tcW w:type="dxa" w:w="1219"/>
          </w:tcPr>
          <w:p>
            <w:r/>
            <w:r>
              <w:rPr>
                <w:rFonts w:ascii="游ゴシック" w:hAnsi="游ゴシック" w:eastAsia="游ゴシック"/>
                <w:b/>
                <w:sz w:val="17"/>
              </w:rPr>
              <w:t>フレイル</w:t>
              <w:br/>
              <w:t>あり割合</w:t>
            </w:r>
          </w:p>
        </w:tc>
        <w:tc>
          <w:tcPr>
            <w:tcW w:type="dxa" w:w="1219"/>
          </w:tcPr>
          <w:p>
            <w:r/>
            <w:r>
              <w:rPr>
                <w:rFonts w:ascii="游ゴシック" w:hAnsi="游ゴシック" w:eastAsia="游ゴシック"/>
                <w:b/>
                <w:sz w:val="17"/>
              </w:rPr>
              <w:t>閉じこもり</w:t>
              <w:br/>
              <w:t>者割合</w:t>
            </w:r>
          </w:p>
        </w:tc>
        <w:tc>
          <w:tcPr>
            <w:tcW w:type="dxa" w:w="1219"/>
          </w:tcPr>
          <w:p>
            <w:r/>
            <w:r>
              <w:rPr>
                <w:rFonts w:ascii="游ゴシック" w:hAnsi="游ゴシック" w:eastAsia="游ゴシック"/>
                <w:b/>
                <w:sz w:val="17"/>
              </w:rPr>
              <w:t>社会参加</w:t>
              <w:br/>
              <w:t>あり割合</w:t>
            </w:r>
          </w:p>
        </w:tc>
      </w:tr>
      <w:t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【要介護度別の認定者数】</w:t>
      </w:r>
    </w:p>
    <w:p>
      <w:pPr>
        <w:spacing w:after="80"/>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70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R7（実績）</w:t>
            </w:r>
          </w:p>
        </w:tc>
        <w:tc>
          <w:tcPr>
            <w:tcW w:type="dxa" w:w="1304"/>
          </w:tcPr>
          <w:p>
            <w:r/>
            <w:r>
              <w:rPr>
                <w:rFonts w:ascii="游ゴシック" w:hAnsi="游ゴシック" w:eastAsia="游ゴシック"/>
                <w:b/>
                <w:sz w:val="17"/>
              </w:rPr>
              <w:t>R9</w:t>
            </w:r>
          </w:p>
        </w:tc>
        <w:tc>
          <w:tcPr>
            <w:tcW w:type="dxa" w:w="1304"/>
          </w:tcPr>
          <w:p>
            <w:r/>
            <w:r>
              <w:rPr>
                <w:rFonts w:ascii="游ゴシック" w:hAnsi="游ゴシック" w:eastAsia="游ゴシック"/>
                <w:b/>
                <w:sz w:val="17"/>
              </w:rPr>
              <w:t>R10</w:t>
            </w:r>
          </w:p>
        </w:tc>
        <w:tc>
          <w:tcPr>
            <w:tcW w:type="dxa" w:w="1304"/>
          </w:tcPr>
          <w:p>
            <w:r/>
            <w:r>
              <w:rPr>
                <w:rFonts w:ascii="游ゴシック" w:hAnsi="游ゴシック" w:eastAsia="游ゴシック"/>
                <w:b/>
                <w:sz w:val="17"/>
              </w:rPr>
              <w:t>R11</w:t>
            </w:r>
          </w:p>
        </w:tc>
        <w:tc>
          <w:tcPr>
            <w:tcW w:type="dxa" w:w="1304"/>
          </w:tcPr>
          <w:p>
            <w:r/>
            <w:r>
              <w:rPr>
                <w:rFonts w:ascii="游ゴシック" w:hAnsi="游ゴシック" w:eastAsia="游ゴシック"/>
                <w:b/>
                <w:sz w:val="17"/>
              </w:rPr>
              <w:t>R17</w:t>
            </w:r>
          </w:p>
        </w:tc>
        <w:tc>
          <w:tcPr>
            <w:tcW w:type="dxa" w:w="1304"/>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6,436円で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【見込量の算定方法】</w:t>
      </w:r>
    </w:p>
    <w:p>
      <w:pPr>
        <w:spacing w:after="80"/>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R7実績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R7実績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R7実績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134"/>
          </w:tcPr>
          <w:p>
            <w:r/>
            <w:r>
              <w:rPr>
                <w:rFonts w:ascii="游ゴシック" w:hAnsi="游ゴシック" w:eastAsia="游ゴシック"/>
                <w:b/>
                <w:sz w:val="17"/>
              </w:rPr>
              <w:t>R7実績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020"/>
          </w:tcPr>
          <w:p>
            <w:r/>
            <w:r>
              <w:rPr>
                <w:rFonts w:ascii="游ゴシック" w:hAnsi="游ゴシック" w:eastAsia="游ゴシック"/>
                <w:b/>
                <w:sz w:val="17"/>
              </w:rPr>
              <w:t>R17</w:t>
            </w:r>
          </w:p>
        </w:tc>
        <w:tc>
          <w:tcPr>
            <w:tcW w:type="dxa" w:w="1020"/>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【利用回（日）数】</w:t>
      </w:r>
    </w:p>
    <w:p>
      <w:pPr>
        <w:spacing w:after="80"/>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R7実績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spacing w:after="60"/>
      </w:pPr>
      <w:r>
        <w:rPr>
          <w:rFonts w:ascii="游ゴシック" w:hAnsi="游ゴシック" w:eastAsia="游ゴシック"/>
          <w:b/>
          <w:sz w:val="20"/>
        </w:rPr>
        <w:t>【介護予防・日常生活支援総合事業の量の見込み】</w:t>
      </w:r>
    </w:p>
    <w:p>
      <w:pPr>
        <w:spacing w:after="80"/>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835"/>
          </w:tcPr>
          <w:p>
            <w:r/>
            <w:r>
              <w:rPr>
                <w:rFonts w:ascii="游ゴシック" w:hAnsi="游ゴシック" w:eastAsia="游ゴシック"/>
                <w:b/>
                <w:sz w:val="17"/>
              </w:rPr>
              <w:t>事業</w:t>
            </w:r>
          </w:p>
        </w:tc>
        <w:tc>
          <w:tcPr>
            <w:tcW w:type="dxa" w:w="680"/>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R6実績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814"/>
          </w:tcPr>
          <w:p>
            <w:r/>
            <w:r>
              <w:rPr>
                <w:rFonts w:ascii="游ゴシック" w:hAnsi="游ゴシック" w:eastAsia="游ゴシック"/>
                <w:b/>
                <w:sz w:val="17"/>
              </w:rPr>
              <w:t>延ばし方</w:t>
            </w:r>
          </w:p>
        </w:tc>
      </w:tr>
      <w:t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【地域支援事業費】</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区分（決算科目）</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R9</w:t>
            </w:r>
          </w:p>
        </w:tc>
        <w:tc>
          <w:tcPr>
            <w:tcW w:type="dxa" w:w="737"/>
          </w:tcPr>
          <w:p>
            <w:r/>
            <w:r>
              <w:rPr>
                <w:rFonts w:ascii="游ゴシック" w:hAnsi="游ゴシック" w:eastAsia="游ゴシック"/>
                <w:b/>
                <w:sz w:val="17"/>
              </w:rPr>
              <w:t>R10</w:t>
            </w:r>
          </w:p>
        </w:tc>
        <w:tc>
          <w:tcPr>
            <w:tcW w:type="dxa" w:w="737"/>
          </w:tcPr>
          <w:p>
            <w:r/>
            <w:r>
              <w:rPr>
                <w:rFonts w:ascii="游ゴシック" w:hAnsi="游ゴシック" w:eastAsia="游ゴシック"/>
                <w:b/>
                <w:sz w:val="17"/>
              </w:rPr>
              <w:t>R11</w:t>
            </w:r>
          </w:p>
        </w:tc>
        <w:tc>
          <w:tcPr>
            <w:tcW w:type="dxa" w:w="850"/>
          </w:tcPr>
          <w:p>
            <w:r/>
            <w:r>
              <w:rPr>
                <w:rFonts w:ascii="游ゴシック" w:hAnsi="游ゴシック" w:eastAsia="游ゴシック"/>
                <w:b/>
                <w:sz w:val="17"/>
              </w:rPr>
              <w:t>第10期計</w:t>
            </w:r>
          </w:p>
        </w:tc>
        <w:tc>
          <w:tcPr>
            <w:tcW w:type="dxa" w:w="2041"/>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定員</w:t>
            </w:r>
          </w:p>
        </w:tc>
        <w:tc>
          <w:tcPr>
            <w:tcW w:type="dxa" w:w="986"/>
          </w:tcPr>
          <w:p>
            <w:r/>
            <w:r>
              <w:rPr>
                <w:rFonts w:ascii="游ゴシック" w:hAnsi="游ゴシック" w:eastAsia="游ゴシック"/>
                <w:b/>
                <w:sz w:val="17"/>
              </w:rPr>
              <w:t>R7実績</w:t>
            </w:r>
          </w:p>
        </w:tc>
        <w:tc>
          <w:tcPr>
            <w:tcW w:type="dxa" w:w="986"/>
          </w:tcPr>
          <w:p>
            <w:r/>
            <w:r>
              <w:rPr>
                <w:rFonts w:ascii="游ゴシック" w:hAnsi="游ゴシック" w:eastAsia="游ゴシック"/>
                <w:b/>
                <w:sz w:val="17"/>
              </w:rPr>
              <w:t>R11見込</w:t>
            </w:r>
          </w:p>
        </w:tc>
        <w:tc>
          <w:tcPr>
            <w:tcW w:type="dxa" w:w="986"/>
          </w:tcPr>
          <w:p>
            <w:r/>
            <w:r>
              <w:rPr>
                <w:rFonts w:ascii="游ゴシック" w:hAnsi="游ゴシック" w:eastAsia="游ゴシック"/>
                <w:b/>
                <w:sz w:val="17"/>
              </w:rPr>
              <w:t>R11／定員</w:t>
            </w:r>
          </w:p>
        </w:tc>
        <w:tc>
          <w:tcPr>
            <w:tcW w:type="dxa" w:w="3725"/>
          </w:tcPr>
          <w:p>
            <w:r/>
            <w:r>
              <w:rPr>
                <w:rFonts w:ascii="游ゴシック" w:hAnsi="游ゴシック" w:eastAsia="游ゴシック"/>
                <w:b/>
                <w:sz w:val="17"/>
              </w:rPr>
              <w:t>整備判断上の確認事項</w:t>
            </w:r>
          </w:p>
        </w:tc>
      </w:tr>
      <w:t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【区域内の入居状況と当広域連合の被保険者の受給者数】</w:t>
      </w:r>
    </w:p>
    <w:p>
      <w:pPr>
        <w:spacing w:after="80"/>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【供給の担い手の集中】</w:t>
      </w:r>
    </w:p>
    <w:p>
      <w:pPr>
        <w:spacing w:after="80"/>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【入所の経路からみた整備の考え方】</w:t>
      </w:r>
    </w:p>
    <w:p>
      <w:pPr>
        <w:spacing w:after="80"/>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【暫定算定】</w:t>
      </w:r>
    </w:p>
    <w:p>
      <w:pPr>
        <w:spacing w:after="80"/>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6,436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第9期の条例基準額6,400円に対し、暫定の算定値は36円高くなります。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【給付費の置き方によるちがい】</w:t>
      </w:r>
    </w:p>
    <w:p>
      <w:pPr>
        <w:spacing w:after="80"/>
      </w:pPr>
      <w:r>
        <w:rPr>
          <w:rFonts w:ascii="游ゴシック" w:hAnsi="游ゴシック" w:eastAsia="游ゴシック"/>
          <w:b w:val="0"/>
          <w:sz w:val="20"/>
        </w:rPr>
        <w:t>給付費の置き方について、次の3つを算定しました。上表は①によっています。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2041"/>
          </w:tcPr>
          <w:p>
            <w:r/>
            <w:r>
              <w:rPr>
                <w:rFonts w:ascii="游ゴシック" w:hAnsi="游ゴシック" w:eastAsia="游ゴシック"/>
                <w:b/>
                <w:sz w:val="17"/>
              </w:rPr>
              <w:t>総給付費（3か年計）</w:t>
            </w:r>
          </w:p>
        </w:tc>
        <w:tc>
          <w:tcPr>
            <w:tcW w:type="dxa" w:w="1474"/>
          </w:tcPr>
          <w:p>
            <w:r/>
            <w:r>
              <w:rPr>
                <w:rFonts w:ascii="游ゴシック" w:hAnsi="游ゴシック" w:eastAsia="游ゴシック"/>
                <w:b/>
                <w:sz w:val="17"/>
              </w:rPr>
              <w:t>算定上の月額</w:t>
            </w:r>
          </w:p>
        </w:tc>
      </w:tr>
      <w:t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9,031,900,444</w:t>
            </w:r>
          </w:p>
        </w:tc>
        <w:tc>
          <w:tcPr>
            <w:tcW w:type="dxa" w:w="1474"/>
          </w:tcPr>
          <w:p>
            <w:r/>
            <w:r>
              <w:rPr>
                <w:rFonts w:ascii="游ゴシック" w:hAnsi="游ゴシック" w:eastAsia="游ゴシック"/>
                <w:sz w:val="17"/>
              </w:rPr>
              <w:t>6,436円</w:t>
            </w:r>
          </w:p>
        </w:tc>
      </w:tr>
      <w:t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pPr>
      <w:r>
        <w:rPr>
          <w:rFonts w:ascii="游ゴシック" w:hAnsi="游ゴシック" w:eastAsia="游ゴシック"/>
          <w:b w:val="0"/>
          <w:sz w:val="20"/>
        </w:rPr>
        <w:t>①と②の差は8円です。人口の高齢化により要介護度の構成が重度側へ動くため、要介護度別に置くと給付費はわずかに大きくなります。①と③の差304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721"/>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80"/>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160"/>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【第10期に施行される見直し】</w:t>
      </w:r>
    </w:p>
    <w:p>
      <w:pPr>
        <w:spacing w:after="80"/>
      </w:pPr>
      <w:r>
        <w:rPr>
          <w:rFonts w:ascii="游ゴシック" w:hAnsi="游ゴシック" w:eastAsia="游ゴシック"/>
          <w:b w:val="0"/>
          <w:sz w:val="21"/>
        </w:rPr>
        <w:t>低所得者に係る負担軽減の仕組みは、第10期の計画期間の前後に次の見直しが行われ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972"/>
          </w:tcPr>
          <w:p>
            <w:r/>
            <w:r>
              <w:rPr>
                <w:rFonts w:ascii="游ゴシック" w:hAnsi="游ゴシック" w:eastAsia="游ゴシック"/>
                <w:b/>
                <w:sz w:val="17"/>
              </w:rPr>
              <w:t>区分</w:t>
            </w:r>
          </w:p>
        </w:tc>
        <w:tc>
          <w:tcPr>
            <w:tcW w:type="dxa" w:w="5040"/>
          </w:tcPr>
          <w:p>
            <w:r/>
            <w:r>
              <w:rPr>
                <w:rFonts w:ascii="游ゴシック" w:hAnsi="游ゴシック" w:eastAsia="游ゴシック"/>
                <w:b/>
                <w:sz w:val="17"/>
              </w:rPr>
              <w:t>見直しの内容</w:t>
            </w:r>
          </w:p>
        </w:tc>
        <w:tc>
          <w:tcPr>
            <w:tcW w:type="dxa" w:w="2739"/>
          </w:tcPr>
          <w:p>
            <w:r/>
            <w:r>
              <w:rPr>
                <w:rFonts w:ascii="游ゴシック" w:hAnsi="游ゴシック" w:eastAsia="游ゴシック"/>
                <w:b/>
                <w:sz w:val="17"/>
              </w:rPr>
              <w:t>時期</w:t>
            </w:r>
          </w:p>
        </w:tc>
      </w:tr>
      <w:t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令和9年度中</w:t>
            </w:r>
          </w:p>
        </w:tc>
      </w:tr>
      <w:t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w:t>
            </w:r>
          </w:p>
        </w:tc>
        <w:tc>
          <w:tcPr>
            <w:tcW w:type="dxa" w:w="2739"/>
          </w:tcPr>
          <w:p>
            <w:r/>
            <w:r>
              <w:rPr>
                <w:rFonts w:ascii="游ゴシック" w:hAnsi="游ゴシック" w:eastAsia="游ゴシック"/>
                <w:sz w:val="17"/>
              </w:rPr>
              <w:t>第10期計画期間の開始（令和9年度）の前までに結論</w:t>
            </w:r>
          </w:p>
        </w:tc>
      </w:tr>
    </w:tbl>
    <w:p>
      <w:pPr>
        <w:spacing w:after="80"/>
      </w:pPr>
      <w:r>
        <w:rPr>
          <w:rFonts w:ascii="游ゴシック" w:hAnsi="游ゴシック" w:eastAsia="游ゴシック"/>
          <w:b w:val="0"/>
          <w:sz w:val="20"/>
        </w:rPr>
        <w:t>補足給付の所得区分の細分化及び一定以上所得基準の見直しは、第10期の計画期間中に施行されるものです。対象となる方に必要な負担軽減が確実に届くよう、認定証の更新の時期に合わせた個別の案内を行うとともに、未申請の把握と申請の勧奨を構成3町と連携して行います。施行の時期及び対象者数は［要確認］として残し、内容が示された時点で補います。</w:t>
      </w:r>
    </w:p>
    <w:p>
      <w:pPr>
        <w:spacing w:after="160"/>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