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9,815.0</w:t>
            </w:r>
          </w:p>
        </w:tc>
        <w:tc>
          <w:tcPr>
            <w:tcW w:type="dxa" w:w="1001"/>
          </w:tcPr>
          <w:p>
            <w:r/>
            <w:r>
              <w:rPr>
                <w:rFonts w:ascii="游ゴシック" w:hAnsi="游ゴシック" w:eastAsia="游ゴシック"/>
                <w:sz w:val="17"/>
              </w:rPr>
              <w:t>3,237.3</w:t>
            </w:r>
          </w:p>
        </w:tc>
        <w:tc>
          <w:tcPr>
            <w:tcW w:type="dxa" w:w="1001"/>
          </w:tcPr>
          <w:p>
            <w:r/>
            <w:r>
              <w:rPr>
                <w:rFonts w:ascii="游ゴシック" w:hAnsi="游ゴシック" w:eastAsia="游ゴシック"/>
                <w:sz w:val="17"/>
              </w:rPr>
              <w:t>3,272.8</w:t>
            </w:r>
          </w:p>
        </w:tc>
        <w:tc>
          <w:tcPr>
            <w:tcW w:type="dxa" w:w="1001"/>
          </w:tcPr>
          <w:p>
            <w:r/>
            <w:r>
              <w:rPr>
                <w:rFonts w:ascii="游ゴシック" w:hAnsi="游ゴシック" w:eastAsia="游ゴシック"/>
                <w:sz w:val="17"/>
              </w:rPr>
              <w:t>3,304.9</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自然体給付費×1.0591（令和6年度決算による割増率）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550.2</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10,365.2</w:t>
            </w:r>
          </w:p>
        </w:tc>
        <w:tc>
          <w:tcPr>
            <w:tcW w:type="dxa" w:w="1001"/>
          </w:tcPr>
          <w:p>
            <w:r/>
            <w:r>
              <w:rPr>
                <w:rFonts w:ascii="游ゴシック" w:hAnsi="游ゴシック" w:eastAsia="游ゴシック"/>
                <w:sz w:val="17"/>
              </w:rPr>
              <w:t>3,420.7</w:t>
            </w:r>
          </w:p>
        </w:tc>
        <w:tc>
          <w:tcPr>
            <w:tcW w:type="dxa" w:w="1001"/>
          </w:tcPr>
          <w:p>
            <w:r/>
            <w:r>
              <w:rPr>
                <w:rFonts w:ascii="游ゴシック" w:hAnsi="游ゴシック" w:eastAsia="游ゴシック"/>
                <w:sz w:val="17"/>
              </w:rPr>
              <w:t>3,456.2</w:t>
            </w:r>
          </w:p>
        </w:tc>
        <w:tc>
          <w:tcPr>
            <w:tcW w:type="dxa" w:w="1001"/>
          </w:tcPr>
          <w:p>
            <w:r/>
            <w:r>
              <w:rPr>
                <w:rFonts w:ascii="游ゴシック" w:hAnsi="游ゴシック" w:eastAsia="游ゴシック"/>
                <w:sz w:val="17"/>
              </w:rPr>
              <w:t>3,488.3</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標準給付費見込額（A）は、自然体推計による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6,684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9,815,032,090</w:t>
            </w:r>
          </w:p>
        </w:tc>
        <w:tc>
          <w:tcPr>
            <w:tcW w:type="dxa" w:w="794"/>
          </w:tcPr>
          <w:p>
            <w:r/>
            <w:r>
              <w:rPr>
                <w:rFonts w:ascii="游ゴシック" w:hAnsi="游ゴシック" w:eastAsia="游ゴシック"/>
                <w:sz w:val="17"/>
              </w:rPr>
              <w:t>103.1％</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550,152,777</w:t>
            </w:r>
          </w:p>
        </w:tc>
        <w:tc>
          <w:tcPr>
            <w:tcW w:type="dxa" w:w="794"/>
          </w:tcPr>
          <w:p>
            <w:r/>
            <w:r>
              <w:rPr>
                <w:rFonts w:ascii="游ゴシック" w:hAnsi="游ゴシック" w:eastAsia="游ゴシック"/>
                <w:sz w:val="17"/>
              </w:rPr>
              <w:t>92.7％</w:t>
            </w:r>
          </w:p>
        </w:tc>
        <w:tc>
          <w:tcPr>
            <w:tcW w:type="dxa" w:w="2494"/>
          </w:tcPr>
          <w:p>
            <w:r/>
            <w:r>
              <w:rPr>
                <w:rFonts w:ascii="游ゴシック" w:hAnsi="游ゴシック" w:eastAsia="游ゴシック"/>
                <w:sz w:val="17"/>
              </w:rPr>
              <w:t>令和6年度決算額×3年</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10,365,184,867</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2,383,992,519</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505,942,798</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746,313,572</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2,143,621,745</w:t>
            </w:r>
          </w:p>
        </w:tc>
        <w:tc>
          <w:tcPr>
            <w:tcW w:type="dxa" w:w="794"/>
          </w:tcPr>
          <w:p>
            <w:r/>
            <w:r>
              <w:rPr>
                <w:rFonts w:ascii="游ゴシック" w:hAnsi="游ゴシック" w:eastAsia="游ゴシック"/>
                <w:sz w:val="17"/>
              </w:rPr>
              <w:t>104.5％</w:t>
            </w:r>
          </w:p>
        </w:tc>
        <w:tc>
          <w:tcPr>
            <w:tcW w:type="dxa" w:w="2494"/>
          </w:tcPr>
          <w:p>
            <w:r/>
            <w:r>
              <w:rPr>
                <w:rFonts w:ascii="游ゴシック" w:hAnsi="游ゴシック" w:eastAsia="游ゴシック"/>
                <w:sz w:val="17"/>
              </w:rPr>
              <w:t>C＋D－E－I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26,995人</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6,684円</w:t>
            </w:r>
          </w:p>
        </w:tc>
        <w:tc>
          <w:tcPr>
            <w:tcW w:type="dxa" w:w="794"/>
          </w:tcPr>
          <w:p>
            <w:r/>
            <w:r>
              <w:rPr>
                <w:rFonts w:ascii="游ゴシック" w:hAnsi="游ゴシック" w:eastAsia="游ゴシック"/>
                <w:sz w:val="17"/>
              </w:rPr>
              <w:t>104.0％</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after="80"/>
      </w:pPr>
      <w:r>
        <w:rPr>
          <w:rFonts w:ascii="游ゴシック" w:hAnsi="游ゴシック" w:eastAsia="游ゴシック"/>
          <w:b w:val="0"/>
          <w:sz w:val="20"/>
        </w:rPr>
        <w:t>第9期の条例基準額6,400円に対し、暫定の算定値は284円高くなります。第9期からの差を要因に分けると、給付費の水準が＋191円、基金取崩しを行わないことが＋125円、被保険者数の減少が＋119円で、所得段階別加入割合補正後の被保険者数の係数が実績どおりであることが▲150円、地域支援事業費が令和6年度の決算水準であることが▲29円で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9,267百万円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6,229円</w:t>
            </w:r>
          </w:p>
        </w:tc>
        <w:tc>
          <w:tcPr>
            <w:tcW w:type="dxa" w:w="1134"/>
          </w:tcPr>
          <w:p>
            <w:r/>
            <w:r>
              <w:rPr>
                <w:rFonts w:ascii="游ゴシック" w:hAnsi="游ゴシック" w:eastAsia="游ゴシック"/>
                <w:sz w:val="17"/>
              </w:rPr>
              <w:t>▲455円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7,008円</w:t>
            </w:r>
          </w:p>
        </w:tc>
        <w:tc>
          <w:tcPr>
            <w:tcW w:type="dxa" w:w="1134"/>
          </w:tcPr>
          <w:p>
            <w:r/>
            <w:r>
              <w:rPr>
                <w:rFonts w:ascii="游ゴシック" w:hAnsi="游ゴシック" w:eastAsia="游ゴシック"/>
                <w:sz w:val="17"/>
              </w:rPr>
              <w:t>＋323円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6,964円</w:t>
            </w:r>
          </w:p>
        </w:tc>
        <w:tc>
          <w:tcPr>
            <w:tcW w:type="dxa" w:w="1134"/>
          </w:tcPr>
          <w:p>
            <w:r/>
            <w:r>
              <w:rPr>
                <w:rFonts w:ascii="游ゴシック" w:hAnsi="游ゴシック" w:eastAsia="游ゴシック"/>
                <w:sz w:val="17"/>
              </w:rPr>
              <w:t>＋279円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6,523円</w:t>
            </w:r>
          </w:p>
        </w:tc>
        <w:tc>
          <w:tcPr>
            <w:tcW w:type="dxa" w:w="1134"/>
          </w:tcPr>
          <w:p>
            <w:r/>
            <w:r>
              <w:rPr>
                <w:rFonts w:ascii="游ゴシック" w:hAnsi="游ゴシック" w:eastAsia="游ゴシック"/>
                <w:sz w:val="17"/>
              </w:rPr>
              <w:t>▲161円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6,625円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5,962円</w:t>
            </w:r>
          </w:p>
        </w:tc>
        <w:tc>
          <w:tcPr>
            <w:tcW w:type="dxa" w:w="1134"/>
          </w:tcPr>
          <w:p>
            <w:r/>
            <w:r>
              <w:rPr>
                <w:rFonts w:ascii="游ゴシック" w:hAnsi="游ゴシック" w:eastAsia="游ゴシック"/>
                <w:sz w:val="17"/>
              </w:rPr>
              <w:t>▲722円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455円の幅があります。見える化システムの自然体推計6,238円は、給付費を第9期の実績年率で置いた場合の値6,229円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