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（第7版　通いの場（総合事業ベース）の実績を反映）</w:t>
      </w:r>
    </w:p>
    <w:p>
      <w:pPr>
        <w:spacing w:after="280"/>
        <w:jc w:val="right"/>
      </w:pPr>
      <w:r>
        <w:rPr>
          <w:rFonts w:ascii="游ゴシック" w:hAnsi="游ゴシック" w:eastAsia="游ゴシック"/>
          <w:b w:val="0"/>
          <w:sz w:val="21"/>
        </w:rPr>
        <w:t>令和8年7月28日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その結果、修正指示は59件（うち第1回委員会前に対応すべきもの18件）となり、そのうち発注者へのご確認が必要なものが41件ございます。</w:t>
      </w:r>
    </w:p>
    <w:p>
      <w:pPr>
        <w:spacing w:after="200"/>
      </w:pPr>
      <w:r>
        <w:rPr>
          <w:rFonts w:ascii="游ゴシック" w:hAnsi="游ゴシック" w:eastAsia="游ゴシック"/>
          <w:b w:val="0"/>
          <w:sz w:val="21"/>
        </w:rPr>
        <w:t>本書では、第1回委員会でご決定いただきたい事項7件、事務局にてご確認いただきたい事項19件、ご提供をお願いする資料21件に整理しております。</w:t>
      </w:r>
    </w:p>
    <w:p>
      <w:pPr>
        <w:spacing w:after="200"/>
      </w:pPr>
      <w:r>
        <w:rPr>
          <w:rFonts w:ascii="游ゴシック" w:hAnsi="游ゴシック" w:eastAsia="游ゴシック"/>
          <w:b w:val="0"/>
          <w:sz w:val="21"/>
        </w:rPr>
        <w:t>このたび、第10期介護保険事業（支援）計画の基本指針案（社会保障審議会介護保険部会 第134回・第135回資料）及び第9期北海道高齢者保健福祉計画・介護保険事業支援計画の本編をご提供いただき、国及び北海道の方針との整合を原典で確認いたしました。その結果、第9期の代表KPI④「通いの場参加率」について、目標の根拠とした国の目標値と実績の統計が異なることが判明いたしました（下記１（7））。あわせて、基本指針に新設される別表「確認すべき指標・状況」11事項のうち、現時点で対応できているのが2事項にとどまることを確認しております。</w:t>
      </w:r>
    </w:p>
    <w:p>
      <w:pPr>
        <w:spacing w:after="200"/>
      </w:pPr>
      <w:r>
        <w:rPr>
          <w:rFonts w:ascii="游ゴシック" w:hAnsi="游ゴシック" w:eastAsia="游ゴシック"/>
          <w:b w:val="0"/>
          <w:sz w:val="21"/>
        </w:rPr>
        <w:t>あわせて、北海道の計画が第5章の全8節を「現状と課題／関連データ／施策の方向性／主な事業（インプット・アウトプット）／達成目標（アウトカム）」の5層で記述しており、国の基本指針案が求めるロジックモデルを既に実装していることを確認いたしました。第10期計画の第5章も同じ構成に改めることを提案いたします（下記４の参考をご覧ください）。</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第1回委員会でご決定いただきたい事項（7件）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 採用系列：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(7) 通いの場参加率の採用系列　【新規・最重要】</w:t>
      </w:r>
    </w:p>
    <w:p>
      <w:pPr>
        <w:spacing w:after="80"/>
      </w:pPr>
      <w:r>
        <w:rPr>
          <w:rFonts w:ascii="游ゴシック" w:hAnsi="游ゴシック" w:eastAsia="游ゴシック"/>
          <w:b w:val="0"/>
          <w:sz w:val="19"/>
        </w:rPr>
        <w:t>第9期計画は代表KPI④について「国が掲げている目標値８％（令和7年度）を参考に、計画最終年度の目標値を設定しました」と記載しております。しかし、国の８％及び北海道の評価指標は、いずれも「介護予防・日常生活支援総合事業の実施状況に関する調査」に基づく参加率であり、大雪の実績は日常生活圏域ニーズ調査における自己申告の割合です。分母・分子の定義が異な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041"/>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統計</w:t>
            </w:r>
          </w:p>
        </w:tc>
        <w:tc>
          <w:tcPr>
            <w:tcW w:type="dxa" w:w="1814"/>
          </w:tcPr>
          <w:p>
            <w:r/>
            <w:r>
              <w:rPr>
                <w:rFonts w:ascii="游ゴシック" w:hAnsi="游ゴシック" w:eastAsia="游ゴシック"/>
                <w:b/>
                <w:sz w:val="18"/>
              </w:rPr>
              <w:t>基準値</w:t>
            </w:r>
          </w:p>
        </w:tc>
        <w:tc>
          <w:tcPr>
            <w:tcW w:type="dxa" w:w="2608"/>
          </w:tcPr>
          <w:p>
            <w:r/>
            <w:r>
              <w:rPr>
                <w:rFonts w:ascii="游ゴシック" w:hAnsi="游ゴシック" w:eastAsia="游ゴシック"/>
                <w:b/>
                <w:sz w:val="18"/>
              </w:rPr>
              <w:t>目標・実績</w:t>
            </w:r>
          </w:p>
        </w:tc>
      </w:tr>
      <w:tr>
        <w:tc>
          <w:tcPr>
            <w:tcW w:type="dxa" w:w="2041"/>
          </w:tcPr>
          <w:p>
            <w:r/>
            <w:r>
              <w:rPr>
                <w:rFonts w:ascii="游ゴシック" w:hAnsi="游ゴシック" w:eastAsia="游ゴシック"/>
                <w:sz w:val="18"/>
              </w:rPr>
              <w:t>国の目標</w:t>
            </w:r>
          </w:p>
        </w:tc>
        <w:tc>
          <w:tcPr>
            <w:tcW w:type="dxa" w:w="3402"/>
          </w:tcPr>
          <w:p>
            <w:r/>
            <w:r>
              <w:rPr>
                <w:rFonts w:ascii="游ゴシック" w:hAnsi="游ゴシック" w:eastAsia="游ゴシック"/>
                <w:sz w:val="18"/>
              </w:rPr>
              <w:t>総合事業の実施状況に関する調査</w:t>
            </w:r>
          </w:p>
        </w:tc>
        <w:tc>
          <w:tcPr>
            <w:tcW w:type="dxa" w:w="1814"/>
          </w:tcPr>
          <w:p>
            <w:r/>
            <w:r>
              <w:rPr>
                <w:rFonts w:ascii="游ゴシック" w:hAnsi="游ゴシック" w:eastAsia="游ゴシック"/>
                <w:sz w:val="18"/>
              </w:rPr>
              <w:t>―</w:t>
            </w:r>
          </w:p>
        </w:tc>
        <w:tc>
          <w:tcPr>
            <w:tcW w:type="dxa" w:w="2608"/>
          </w:tcPr>
          <w:p>
            <w:r/>
            <w:r>
              <w:rPr>
                <w:rFonts w:ascii="游ゴシック" w:hAnsi="游ゴシック" w:eastAsia="游ゴシック"/>
                <w:sz w:val="18"/>
              </w:rPr>
              <w:t>８％（2025年まで）</w:t>
            </w:r>
          </w:p>
        </w:tc>
      </w:tr>
      <w:tr>
        <w:tc>
          <w:tcPr>
            <w:tcW w:type="dxa" w:w="2041"/>
          </w:tcPr>
          <w:p>
            <w:r/>
            <w:r>
              <w:rPr>
                <w:rFonts w:ascii="游ゴシック" w:hAnsi="游ゴシック" w:eastAsia="游ゴシック"/>
                <w:sz w:val="18"/>
              </w:rPr>
              <w:t>北海道の評価指標</w:t>
            </w:r>
          </w:p>
        </w:tc>
        <w:tc>
          <w:tcPr>
            <w:tcW w:type="dxa" w:w="3402"/>
          </w:tcPr>
          <w:p>
            <w:r/>
            <w:r>
              <w:rPr>
                <w:rFonts w:ascii="游ゴシック" w:hAnsi="游ゴシック" w:eastAsia="游ゴシック"/>
                <w:sz w:val="18"/>
              </w:rPr>
              <w:t>同上</w:t>
            </w:r>
          </w:p>
        </w:tc>
        <w:tc>
          <w:tcPr>
            <w:tcW w:type="dxa" w:w="1814"/>
          </w:tcPr>
          <w:p>
            <w:r/>
            <w:r>
              <w:rPr>
                <w:rFonts w:ascii="游ゴシック" w:hAnsi="游ゴシック" w:eastAsia="游ゴシック"/>
                <w:sz w:val="18"/>
              </w:rPr>
              <w:t>3.94％（R3）</w:t>
            </w:r>
          </w:p>
        </w:tc>
        <w:tc>
          <w:tcPr>
            <w:tcW w:type="dxa" w:w="2608"/>
          </w:tcPr>
          <w:p>
            <w:r/>
            <w:r>
              <w:rPr>
                <w:rFonts w:ascii="游ゴシック" w:hAnsi="游ゴシック" w:eastAsia="游ゴシック"/>
                <w:sz w:val="18"/>
              </w:rPr>
              <w:t>5.37％以上（R8）　※全国はR3 5.53％</w:t>
            </w:r>
          </w:p>
        </w:tc>
      </w:tr>
      <w:tr>
        <w:tc>
          <w:tcPr>
            <w:tcW w:type="dxa" w:w="2041"/>
          </w:tcPr>
          <w:p>
            <w:r/>
            <w:r>
              <w:rPr>
                <w:rFonts w:ascii="游ゴシック" w:hAnsi="游ゴシック" w:eastAsia="游ゴシック"/>
                <w:sz w:val="18"/>
              </w:rPr>
              <w:t>大雪の代表KPI④</w:t>
            </w:r>
          </w:p>
        </w:tc>
        <w:tc>
          <w:tcPr>
            <w:tcW w:type="dxa" w:w="3402"/>
          </w:tcPr>
          <w:p>
            <w:r/>
            <w:r>
              <w:rPr>
                <w:rFonts w:ascii="游ゴシック" w:hAnsi="游ゴシック" w:eastAsia="游ゴシック"/>
                <w:sz w:val="18"/>
              </w:rPr>
              <w:t>日常生活圏域ニーズ調査（自己申告）</w:t>
            </w:r>
          </w:p>
        </w:tc>
        <w:tc>
          <w:tcPr>
            <w:tcW w:type="dxa" w:w="1814"/>
          </w:tcPr>
          <w:p>
            <w:r/>
            <w:r>
              <w:rPr>
                <w:rFonts w:ascii="游ゴシック" w:hAnsi="游ゴシック" w:eastAsia="游ゴシック"/>
                <w:sz w:val="18"/>
              </w:rPr>
              <w:t>7.3％（R4）</w:t>
            </w:r>
          </w:p>
        </w:tc>
        <w:tc>
          <w:tcPr>
            <w:tcW w:type="dxa" w:w="2608"/>
          </w:tcPr>
          <w:p>
            <w:r/>
            <w:r>
              <w:rPr>
                <w:rFonts w:ascii="游ゴシック" w:hAnsi="游ゴシック" w:eastAsia="游ゴシック"/>
                <w:sz w:val="18"/>
              </w:rPr>
              <w:t>10.0％（R8）　実績8.8％（R7）</w:t>
            </w:r>
          </w:p>
        </w:tc>
      </w:tr>
    </w:tbl>
    <w:p>
      <w:pPr>
        <w:spacing w:after="80"/>
      </w:pPr>
      <w:r>
        <w:rPr>
          <w:rFonts w:ascii="游ゴシック" w:hAnsi="游ゴシック" w:eastAsia="游ゴシック"/>
          <w:b w:val="0"/>
          <w:sz w:val="19"/>
        </w:rPr>
        <w:t>このたびF1〜F9をご提供いただき、総合事業ベースの実績が判明いたしました。統計を揃えると、当広域連合の水準は北海道・全国を大きく下回っております。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742"/>
          </w:tcPr>
          <w:p>
            <w:r/>
            <w:r>
              <w:rPr>
                <w:rFonts w:ascii="游ゴシック" w:hAnsi="游ゴシック" w:eastAsia="游ゴシック"/>
                <w:b/>
                <w:sz w:val="18"/>
              </w:rPr>
              <w:t>区分</w:t>
            </w:r>
          </w:p>
        </w:tc>
        <w:tc>
          <w:tcPr>
            <w:tcW w:type="dxa" w:w="1474"/>
          </w:tcPr>
          <w:p>
            <w:r/>
            <w:r>
              <w:rPr>
                <w:rFonts w:ascii="游ゴシック" w:hAnsi="游ゴシック" w:eastAsia="游ゴシック"/>
                <w:b/>
                <w:sz w:val="18"/>
              </w:rPr>
              <w:t>H29</w:t>
            </w:r>
          </w:p>
        </w:tc>
        <w:tc>
          <w:tcPr>
            <w:tcW w:type="dxa" w:w="1474"/>
          </w:tcPr>
          <w:p>
            <w:r/>
            <w:r>
              <w:rPr>
                <w:rFonts w:ascii="游ゴシック" w:hAnsi="游ゴシック" w:eastAsia="游ゴシック"/>
                <w:b/>
                <w:sz w:val="18"/>
              </w:rPr>
              <w:t>H30</w:t>
            </w:r>
          </w:p>
        </w:tc>
        <w:tc>
          <w:tcPr>
            <w:tcW w:type="dxa" w:w="1474"/>
          </w:tcPr>
          <w:p>
            <w:r/>
            <w:r>
              <w:rPr>
                <w:rFonts w:ascii="游ゴシック" w:hAnsi="游ゴシック" w:eastAsia="游ゴシック"/>
                <w:b/>
                <w:sz w:val="18"/>
              </w:rPr>
              <w:t>R元</w:t>
            </w:r>
          </w:p>
        </w:tc>
        <w:tc>
          <w:tcPr>
            <w:tcW w:type="dxa" w:w="1474"/>
          </w:tcPr>
          <w:p>
            <w:r/>
            <w:r>
              <w:rPr>
                <w:rFonts w:ascii="游ゴシック" w:hAnsi="游ゴシック" w:eastAsia="游ゴシック"/>
                <w:b/>
                <w:sz w:val="18"/>
              </w:rPr>
              <w:t>R2</w:t>
            </w:r>
          </w:p>
        </w:tc>
      </w:tr>
      <w:tr>
        <w:tc>
          <w:tcPr>
            <w:tcW w:type="dxa" w:w="3742"/>
          </w:tcPr>
          <w:p>
            <w:r/>
            <w:r>
              <w:rPr>
                <w:rFonts w:ascii="游ゴシック" w:hAnsi="游ゴシック" w:eastAsia="游ゴシック"/>
                <w:sz w:val="18"/>
              </w:rPr>
              <w:t>月1回以上の参加率　大雪</w:t>
            </w:r>
          </w:p>
        </w:tc>
        <w:tc>
          <w:tcPr>
            <w:tcW w:type="dxa" w:w="1474"/>
          </w:tcPr>
          <w:p>
            <w:r/>
            <w:r>
              <w:rPr>
                <w:rFonts w:ascii="游ゴシック" w:hAnsi="游ゴシック" w:eastAsia="游ゴシック"/>
                <w:sz w:val="18"/>
              </w:rPr>
              <w:t>3.1％</w:t>
            </w:r>
          </w:p>
        </w:tc>
        <w:tc>
          <w:tcPr>
            <w:tcW w:type="dxa" w:w="1474"/>
          </w:tcPr>
          <w:p>
            <w:r/>
            <w:r>
              <w:rPr>
                <w:rFonts w:ascii="游ゴシック" w:hAnsi="游ゴシック" w:eastAsia="游ゴシック"/>
                <w:sz w:val="18"/>
              </w:rPr>
              <w:t>3.0％</w:t>
            </w:r>
          </w:p>
        </w:tc>
        <w:tc>
          <w:tcPr>
            <w:tcW w:type="dxa" w:w="1474"/>
          </w:tcPr>
          <w:p>
            <w:r/>
            <w:r>
              <w:rPr>
                <w:rFonts w:ascii="游ゴシック" w:hAnsi="游ゴシック" w:eastAsia="游ゴシック"/>
                <w:sz w:val="18"/>
              </w:rPr>
              <w:t>2.7％</w:t>
            </w:r>
          </w:p>
        </w:tc>
        <w:tc>
          <w:tcPr>
            <w:tcW w:type="dxa" w:w="1474"/>
          </w:tcPr>
          <w:p>
            <w:r/>
            <w:r>
              <w:rPr>
                <w:rFonts w:ascii="游ゴシック" w:hAnsi="游ゴシック" w:eastAsia="游ゴシック"/>
                <w:sz w:val="18"/>
              </w:rPr>
              <w:t>1.6％</w:t>
            </w:r>
          </w:p>
        </w:tc>
      </w:tr>
      <w:tr>
        <w:tc>
          <w:tcPr>
            <w:tcW w:type="dxa" w:w="3742"/>
          </w:tcPr>
          <w:p>
            <w:r/>
            <w:r>
              <w:rPr>
                <w:rFonts w:ascii="游ゴシック" w:hAnsi="游ゴシック" w:eastAsia="游ゴシック"/>
                <w:sz w:val="18"/>
              </w:rPr>
              <w:t>月1回以上の参加率　北海道</w:t>
            </w:r>
          </w:p>
        </w:tc>
        <w:tc>
          <w:tcPr>
            <w:tcW w:type="dxa" w:w="1474"/>
          </w:tcPr>
          <w:p>
            <w:r/>
            <w:r>
              <w:rPr>
                <w:rFonts w:ascii="游ゴシック" w:hAnsi="游ゴシック" w:eastAsia="游ゴシック"/>
                <w:sz w:val="18"/>
              </w:rPr>
              <w:t>3.8％</w:t>
            </w:r>
          </w:p>
        </w:tc>
        <w:tc>
          <w:tcPr>
            <w:tcW w:type="dxa" w:w="1474"/>
          </w:tcPr>
          <w:p>
            <w:r/>
            <w:r>
              <w:rPr>
                <w:rFonts w:ascii="游ゴシック" w:hAnsi="游ゴシック" w:eastAsia="游ゴシック"/>
                <w:sz w:val="18"/>
              </w:rPr>
              <w:t>3.9％</w:t>
            </w:r>
          </w:p>
        </w:tc>
        <w:tc>
          <w:tcPr>
            <w:tcW w:type="dxa" w:w="1474"/>
          </w:tcPr>
          <w:p>
            <w:r/>
            <w:r>
              <w:rPr>
                <w:rFonts w:ascii="游ゴシック" w:hAnsi="游ゴシック" w:eastAsia="游ゴシック"/>
                <w:sz w:val="18"/>
              </w:rPr>
              <w:t>4.8％</w:t>
            </w:r>
          </w:p>
        </w:tc>
        <w:tc>
          <w:tcPr>
            <w:tcW w:type="dxa" w:w="1474"/>
          </w:tcPr>
          <w:p>
            <w:r/>
            <w:r>
              <w:rPr>
                <w:rFonts w:ascii="游ゴシック" w:hAnsi="游ゴシック" w:eastAsia="游ゴシック"/>
                <w:sz w:val="18"/>
              </w:rPr>
              <w:t>3.9％</w:t>
            </w:r>
          </w:p>
        </w:tc>
      </w:tr>
      <w:tr>
        <w:tc>
          <w:tcPr>
            <w:tcW w:type="dxa" w:w="3742"/>
          </w:tcPr>
          <w:p>
            <w:r/>
            <w:r>
              <w:rPr>
                <w:rFonts w:ascii="游ゴシック" w:hAnsi="游ゴシック" w:eastAsia="游ゴシック"/>
                <w:sz w:val="18"/>
              </w:rPr>
              <w:t>月1回以上の参加率　全国</w:t>
            </w:r>
          </w:p>
        </w:tc>
        <w:tc>
          <w:tcPr>
            <w:tcW w:type="dxa" w:w="1474"/>
          </w:tcPr>
          <w:p>
            <w:r/>
            <w:r>
              <w:rPr>
                <w:rFonts w:ascii="游ゴシック" w:hAnsi="游ゴシック" w:eastAsia="游ゴシック"/>
                <w:sz w:val="18"/>
              </w:rPr>
              <w:t>4.9％</w:t>
            </w:r>
          </w:p>
        </w:tc>
        <w:tc>
          <w:tcPr>
            <w:tcW w:type="dxa" w:w="1474"/>
          </w:tcPr>
          <w:p>
            <w:r/>
            <w:r>
              <w:rPr>
                <w:rFonts w:ascii="游ゴシック" w:hAnsi="游ゴシック" w:eastAsia="游ゴシック"/>
                <w:sz w:val="18"/>
              </w:rPr>
              <w:t>5.7％</w:t>
            </w:r>
          </w:p>
        </w:tc>
        <w:tc>
          <w:tcPr>
            <w:tcW w:type="dxa" w:w="1474"/>
          </w:tcPr>
          <w:p>
            <w:r/>
            <w:r>
              <w:rPr>
                <w:rFonts w:ascii="游ゴシック" w:hAnsi="游ゴシック" w:eastAsia="游ゴシック"/>
                <w:sz w:val="18"/>
              </w:rPr>
              <w:t>6.7％</w:t>
            </w:r>
          </w:p>
        </w:tc>
        <w:tc>
          <w:tcPr>
            <w:tcW w:type="dxa" w:w="1474"/>
          </w:tcPr>
          <w:p>
            <w:r/>
            <w:r>
              <w:rPr>
                <w:rFonts w:ascii="游ゴシック" w:hAnsi="游ゴシック" w:eastAsia="游ゴシック"/>
                <w:sz w:val="18"/>
              </w:rPr>
              <w:t>5.2％</w:t>
            </w:r>
          </w:p>
        </w:tc>
      </w:tr>
      <w:tr>
        <w:tc>
          <w:tcPr>
            <w:tcW w:type="dxa" w:w="3742"/>
          </w:tcPr>
          <w:p>
            <w:r/>
            <w:r>
              <w:rPr>
                <w:rFonts w:ascii="游ゴシック" w:hAnsi="游ゴシック" w:eastAsia="游ゴシック"/>
                <w:sz w:val="18"/>
              </w:rPr>
              <w:t>週1回以上の箇所数　大雪</w:t>
            </w:r>
          </w:p>
        </w:tc>
        <w:tc>
          <w:tcPr>
            <w:tcW w:type="dxa" w:w="1474"/>
          </w:tcPr>
          <w:p>
            <w:r/>
            <w:r>
              <w:rPr>
                <w:rFonts w:ascii="游ゴシック" w:hAnsi="游ゴシック" w:eastAsia="游ゴシック"/>
                <w:sz w:val="18"/>
              </w:rPr>
              <w:t>7箇所</w:t>
            </w:r>
          </w:p>
        </w:tc>
        <w:tc>
          <w:tcPr>
            <w:tcW w:type="dxa" w:w="1474"/>
          </w:tcPr>
          <w:p>
            <w:r/>
            <w:r>
              <w:rPr>
                <w:rFonts w:ascii="游ゴシック" w:hAnsi="游ゴシック" w:eastAsia="游ゴシック"/>
                <w:sz w:val="18"/>
              </w:rPr>
              <w:t>6箇所</w:t>
            </w:r>
          </w:p>
        </w:tc>
        <w:tc>
          <w:tcPr>
            <w:tcW w:type="dxa" w:w="1474"/>
          </w:tcPr>
          <w:p>
            <w:r/>
            <w:r>
              <w:rPr>
                <w:rFonts w:ascii="游ゴシック" w:hAnsi="游ゴシック" w:eastAsia="游ゴシック"/>
                <w:sz w:val="18"/>
              </w:rPr>
              <w:t>4箇所</w:t>
            </w:r>
          </w:p>
        </w:tc>
        <w:tc>
          <w:tcPr>
            <w:tcW w:type="dxa" w:w="1474"/>
          </w:tcPr>
          <w:p>
            <w:r/>
            <w:r>
              <w:rPr>
                <w:rFonts w:ascii="游ゴシック" w:hAnsi="游ゴシック" w:eastAsia="游ゴシック"/>
                <w:sz w:val="18"/>
              </w:rPr>
              <w:t>3箇所</w:t>
            </w:r>
          </w:p>
        </w:tc>
      </w:tr>
    </w:tbl>
    <w:p>
      <w:pPr>
        <w:spacing w:after="80"/>
      </w:pPr>
      <w:r>
        <w:rPr>
          <w:rFonts w:ascii="游ゴシック" w:hAnsi="游ゴシック" w:eastAsia="游ゴシック"/>
          <w:b w:val="0"/>
          <w:sz w:val="19"/>
        </w:rPr>
        <w:t>令和2年度の1.6％は北海道3.9％の41％、全国5.2％の31％であり、北海道の第9期目標5.37％を2.34ポイント下回ります。週1回以上の通いの場は3箇所で、65歳以上1万人あたり3.24箇所は全国13.12箇所の25％にとどまります。平成29年度の3.1％・7箇所をピークに低下しており、参加者も277人から151人へ45％減少しています。</w:t>
      </w:r>
    </w:p>
    <w:p>
      <w:pPr>
        <w:spacing w:after="80"/>
      </w:pPr>
      <w:r>
        <w:rPr>
          <w:rFonts w:ascii="游ゴシック" w:hAnsi="游ゴシック" w:eastAsia="游ゴシック"/>
          <w:b w:val="0"/>
          <w:sz w:val="19"/>
        </w:rPr>
        <w:t>したがいまして、第9期の評価は「国目標8％を達成」ではなく、「ニーズ調査ベースでは自主目標に0.2ポイント未達。総合事業ベースでは全国の31％の水準で低下傾向」と整理することが正確と考えます。介護予防・社会参加については、第10期の重点施策として位置づけを引き上げることをご検討いただきたく存じます。</w:t>
      </w:r>
    </w:p>
    <w:p>
      <w:pPr>
        <w:spacing w:after="80"/>
      </w:pPr>
      <w:r>
        <w:rPr>
          <w:rFonts w:ascii="游ゴシック" w:hAnsi="游ゴシック" w:eastAsia="游ゴシック"/>
          <w:b w:val="0"/>
          <w:sz w:val="19"/>
        </w:rPr>
        <w:t>なお、当広域連合の3箇所の内訳には特徴がございます。活動内容が体操（運動）1・認知症予防1・農作業1で、農作業を主な活動内容とする通いの場は全国59箇所（0.1％）・北海道1箇所（0.1％）と稀な類型です。圏域の地域特性を反映しており、第10期の施策の核の一つにできる可能性がございます。一方、住民個人が運営する通いの場は全国19.2％・北海道28.8％あるのに対し当広域連合は0箇所で、小規模な立ち上げ支援は差が大きい領域です。</w:t>
      </w:r>
    </w:p>
    <w:p>
      <w:pPr>
        <w:spacing w:after="80"/>
      </w:pPr>
      <w:r>
        <w:rPr>
          <w:rFonts w:ascii="游ゴシック" w:hAnsi="游ゴシック" w:eastAsia="游ゴシック"/>
          <w:b w:val="0"/>
          <w:sz w:val="19"/>
        </w:rPr>
        <w:t>第10期基本指針の新別表も、通いの場の把握方法として総合事業の実施状況に関する調査を挙げております。このため、①第9期の評価では「国目標８％を達成」という記述を避けること、②第10期は総合事業調査ベースの参加率を別途把握し、北海道・全国との比較にはそちらを用いること、③H05の合成指標36.0％はニーズ調査ベースであり他地域と比較できない旨を注記すること、を提案いたします。</w:t>
      </w:r>
    </w:p>
    <w:p>
      <w:pPr>
        <w:spacing w:after="80"/>
      </w:pPr>
      <w:r>
        <w:rPr>
          <w:rFonts w:ascii="游ゴシック" w:hAnsi="游ゴシック" w:eastAsia="游ゴシック"/>
          <w:b w:val="0"/>
          <w:sz w:val="19"/>
        </w:rPr>
        <w:t>F1〜F9のデータは令和2年度までとなっております。総合事業の実施状況に関する調査は継続しておりますので、令和3〜6年度の値が見える化に収録されているかご確認いただき、収録されていない場合は貴連合が国へご報告された調査票の写しをご提供いただけますでしょうか。</w:t>
      </w:r>
    </w:p>
    <w:p>
      <w:pPr>
        <w:spacing w:after="80"/>
      </w:pPr>
      <w:r>
        <w:rPr>
          <w:rFonts w:ascii="游ゴシック" w:hAnsi="游ゴシック" w:eastAsia="游ゴシック"/>
          <w:b w:val="0"/>
          <w:sz w:val="19"/>
        </w:rPr>
        <w:t>→ 採用系列：　□総合事業調査ベースを主・ニーズ調査ベースを従（推奨）　□ニーズ調査ベースのみ　□両論併記</w:t>
      </w:r>
    </w:p>
    <w:p>
      <w:r>
        <w:br w:type="page"/>
      </w:r>
    </w:p>
    <w:p>
      <w:pPr>
        <w:spacing w:after="120" w:before="200"/>
      </w:pPr>
      <w:r>
        <w:rPr>
          <w:rFonts w:ascii="游ゴシック" w:hAnsi="游ゴシック" w:eastAsia="游ゴシック"/>
          <w:b/>
          <w:sz w:val="24"/>
        </w:rPr>
        <w:t>２　事務局にてご確認いただきたい事項（19件）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地域密着型通所介護の給付低下　【新規】</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第9期計画では4施設（東川町1・美瑛町3）で据置きとしておりました。事業所の休廃止・定員縮小の有無を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重度在宅を支えるサービスの整備方針　【新規】</w:t>
            </w:r>
          </w:p>
        </w:tc>
        <w:tc>
          <w:tcPr>
            <w:tcW w:type="dxa" w:w="5216"/>
          </w:tcPr>
          <w:p>
            <w:r/>
            <w:r>
              <w:rPr>
                <w:rFonts w:ascii="游ゴシック" w:hAnsi="游ゴシック" w:eastAsia="游ゴシック"/>
                <w:sz w:val="18"/>
              </w:rPr>
              <w:t>要介護5の在宅・居住系割合が54.6％に達している一方、定期巡回・随時対応型訪問介護看護の給付月額は令和7年度15円、夜間対応型訪問介護と看護小規模多機能型居宅介護は0円です。24時間対応サービスの整備方針、又は訪問介護・訪問看護・小規模多機能での代替方針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16</w:t>
            </w:r>
          </w:p>
        </w:tc>
        <w:tc>
          <w:tcPr>
            <w:tcW w:type="dxa" w:w="2041"/>
          </w:tcPr>
          <w:p>
            <w:r/>
            <w:r>
              <w:rPr>
                <w:rFonts w:ascii="游ゴシック" w:hAnsi="游ゴシック" w:eastAsia="游ゴシック"/>
                <w:sz w:val="18"/>
              </w:rPr>
              <w:t>H09・H10の業務記録の様式　【新規】</w:t>
            </w:r>
          </w:p>
        </w:tc>
        <w:tc>
          <w:tcPr>
            <w:tcW w:type="dxa" w:w="5216"/>
          </w:tcPr>
          <w:p>
            <w:r/>
            <w:r>
              <w:rPr>
                <w:rFonts w:ascii="游ゴシック" w:hAnsi="游ゴシック" w:eastAsia="游ゴシック"/>
                <w:sz w:val="18"/>
              </w:rPr>
              <w:t>H09（退院時支援調整実施率）とH10（認知症相談から支援接続までの適時率）は、3町の地域包括支援センターの業務記録をデータ源とします。3町の記録様式が統一されているか、H10の「標準日数」の定義があるかをご確認ください。統一されていない場合は、令和9年度は様式整備を管理指標とし、基準値の設定を令和10年度からとする段階設定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17</w:t>
            </w:r>
          </w:p>
        </w:tc>
        <w:tc>
          <w:tcPr>
            <w:tcW w:type="dxa" w:w="2041"/>
          </w:tcPr>
          <w:p>
            <w:r/>
            <w:r>
              <w:rPr>
                <w:rFonts w:ascii="游ゴシック" w:hAnsi="游ゴシック" w:eastAsia="游ゴシック"/>
                <w:sz w:val="18"/>
              </w:rPr>
              <w:t>介護人材実態調査の設問　【新規】</w:t>
            </w:r>
          </w:p>
        </w:tc>
        <w:tc>
          <w:tcPr>
            <w:tcW w:type="dxa" w:w="5216"/>
          </w:tcPr>
          <w:p>
            <w:r/>
            <w:r>
              <w:rPr>
                <w:rFonts w:ascii="游ゴシック" w:hAnsi="游ゴシック" w:eastAsia="游ゴシック"/>
                <w:sz w:val="18"/>
              </w:rPr>
              <w:t>H13（職種別欠員率）は「必要常勤換算数」、H14（採用者1年定着率）は「採用後12か月時点の在職」を必要としますが、第9期の同調査にこれらの設問は確認できませんでした。第10期の調査票に該当設問があるかご確認ください。ない場合は、H13は求人継続期間又は採用者数と退職者数の差分、H14は年間離職率での代替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18</w:t>
            </w:r>
          </w:p>
        </w:tc>
        <w:tc>
          <w:tcPr>
            <w:tcW w:type="dxa" w:w="2041"/>
          </w:tcPr>
          <w:p>
            <w:r/>
            <w:r>
              <w:rPr>
                <w:rFonts w:ascii="游ゴシック" w:hAnsi="游ゴシック" w:eastAsia="游ゴシック"/>
                <w:sz w:val="18"/>
              </w:rPr>
              <w:t>新規認定者数の抽出　【新規】</w:t>
            </w:r>
          </w:p>
        </w:tc>
        <w:tc>
          <w:tcPr>
            <w:tcW w:type="dxa" w:w="5216"/>
          </w:tcPr>
          <w:p>
            <w:r/>
            <w:r>
              <w:rPr>
                <w:rFonts w:ascii="游ゴシック" w:hAnsi="游ゴシック" w:eastAsia="游ゴシック"/>
                <w:sz w:val="18"/>
              </w:rPr>
              <w:t>H03（75歳以上新規認定率）は補完KPIですが、見える化に新規認定者数の系列がなく、認定台帳からの抽出が必要です。年度別・年齢階級別の新規認定者数を抽出できるかご確認ください。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19</w:t>
            </w:r>
          </w:p>
        </w:tc>
        <w:tc>
          <w:tcPr>
            <w:tcW w:type="dxa" w:w="2041"/>
          </w:tcPr>
          <w:p>
            <w:r/>
            <w:r>
              <w:rPr>
                <w:rFonts w:ascii="游ゴシック" w:hAnsi="游ゴシック" w:eastAsia="游ゴシック"/>
                <w:sz w:val="18"/>
              </w:rPr>
              <w:t>H16の指標設計　【新規】</w:t>
            </w:r>
          </w:p>
        </w:tc>
        <w:tc>
          <w:tcPr>
            <w:tcW w:type="dxa" w:w="5216"/>
          </w:tcPr>
          <w:p>
            <w:r/>
            <w:r>
              <w:rPr>
                <w:rFonts w:ascii="游ゴシック" w:hAnsi="游ゴシック" w:eastAsia="游ゴシック"/>
                <w:sz w:val="18"/>
              </w:rPr>
              <w:t>H16（災害・感染症時の必須サービス継続率）は実績指標のため、計画期間中に事象がなければ測定機会自体が生じません。またデータ源とされる事業所実態調査が仕様書の対象調査に含まれていません。体制指標（事業所のBCP策定率、訓練実施率、相互応援協定の締結数）への組替えをご検討ください。BCPの策定は令和6年度から義務化されており、調査を経ずに把握できます。</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ご提供をお願いする資料（21件）</w:t>
      </w:r>
    </w:p>
    <w:p>
      <w:pPr>
        <w:spacing w:after="80"/>
      </w:pPr>
      <w:r>
        <w:rPr>
          <w:rFonts w:ascii="游ゴシック" w:hAnsi="游ゴシック" w:eastAsia="游ゴシック"/>
          <w:b w:val="0"/>
          <w:sz w:val="19"/>
        </w:rPr>
        <w:t>計画の確定に必要な資料です。優先度の高いものから記載しております。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見える化の再出力①　δ2・δ2-a〜e／δ3・δ3-a〜e（介護サービス自給率　時系列・地域比較。全体、訪問系、通所系、短期入所系、多機能系、施設居住系の各6区分　計12件）</w:t>
            </w:r>
          </w:p>
        </w:tc>
        <w:tc>
          <w:tcPr>
            <w:tcW w:type="dxa" w:w="3118"/>
          </w:tcPr>
          <w:p>
            <w:r/>
            <w:r>
              <w:rPr>
                <w:rFonts w:ascii="游ゴシック" w:hAnsi="游ゴシック" w:eastAsia="游ゴシック"/>
                <w:sz w:val="18"/>
              </w:rPr>
              <w:t>3町の旭川市依存度の把握。定期巡回・看多機が実質ゼロである理由（域外利用で足りているのか、そもそも届いていないのか）の判別。第6章の整備方針の前提</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見える化の再出力②　F4・F5・F6（月1回以上の通いの場の参加率・参加者数・箇所数）及びF1・F2・F3（週1回以上）　計6件</w:t>
            </w:r>
          </w:p>
        </w:tc>
        <w:tc>
          <w:tcPr>
            <w:tcW w:type="dxa" w:w="3118"/>
          </w:tcPr>
          <w:p>
            <w:r/>
            <w:r>
              <w:rPr>
                <w:rFonts w:ascii="游ゴシック" w:hAnsi="游ゴシック" w:eastAsia="游ゴシック"/>
                <w:sz w:val="18"/>
              </w:rPr>
              <w:t>国の目標8％・北海道のKPIと同じ統計での通いの場参加率の把握（下記１（7）の解決）</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見える化の再出力③　H1・H2（介護人材の必要数／需要見込みに対する供給見込みの割合）　計2件</w:t>
            </w:r>
          </w:p>
        </w:tc>
        <w:tc>
          <w:tcPr>
            <w:tcW w:type="dxa" w:w="3118"/>
          </w:tcPr>
          <w:p>
            <w:r/>
            <w:r>
              <w:rPr>
                <w:rFonts w:ascii="游ゴシック" w:hAnsi="游ゴシック" w:eastAsia="游ゴシック"/>
                <w:sz w:val="18"/>
              </w:rPr>
              <w:t>北海道が「令和8年までに約114千人」としている推計と同じ方法での大雪の必要人材数。H13（職種別欠員率）の代替</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見える化の再出力④　K1-a〜e・K2-a〜c・K3-a〜s（サービス提供事業所数　全27サービス種別）　計34件</w:t>
            </w:r>
          </w:p>
        </w:tc>
        <w:tc>
          <w:tcPr>
            <w:tcW w:type="dxa" w:w="3118"/>
          </w:tcPr>
          <w:p>
            <w:r/>
            <w:r>
              <w:rPr>
                <w:rFonts w:ascii="游ゴシック" w:hAnsi="游ゴシック" w:eastAsia="游ゴシック"/>
                <w:sz w:val="18"/>
              </w:rPr>
              <w:t>基本指針の新別表 七への対応。地域密着型通所介護の給付月額が27.0％低下した要因（休廃止の有無）の確認</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見える化の再出力⑤　L27-a〜c・L28-a〜b（在宅死亡者数・看取り数）、L20〜L26・O1〜O13（医療介護連携に関する加算等の算定状況）、M2-a〜m（従事者数　サービス別・認定者1万対）、F15〜F25（地域包括支援センターの設置数・人員体制・地域ケア会議開催回数）、F28〜F40（訪問型・通所型サービスA〜Dの実施延べ件数）、J1〜J18（認知症関連研修・初期集中支援チーム・地域支援推進員・認知症カフェ）、W系列（保険者機能強化推進交付金等の評価指標）、δ1-a〜c（レーダーチャート）</w:t>
            </w:r>
          </w:p>
        </w:tc>
        <w:tc>
          <w:tcPr>
            <w:tcW w:type="dxa" w:w="3118"/>
          </w:tcPr>
          <w:p>
            <w:r/>
            <w:r>
              <w:rPr>
                <w:rFonts w:ascii="游ゴシック" w:hAnsi="游ゴシック" w:eastAsia="游ゴシック"/>
                <w:sz w:val="18"/>
              </w:rPr>
              <w:t>基本指針の新別表 三・七・九・十・十一への対応。H09（退院時支援調整実施率）の代替指標の検討</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地域包括支援センター運営状況調査の評価結果（3町分）</w:t>
            </w:r>
          </w:p>
        </w:tc>
        <w:tc>
          <w:tcPr>
            <w:tcW w:type="dxa" w:w="3118"/>
          </w:tcPr>
          <w:p>
            <w:r/>
            <w:r>
              <w:rPr>
                <w:rFonts w:ascii="游ゴシック" w:hAnsi="游ゴシック" w:eastAsia="游ゴシック"/>
                <w:sz w:val="18"/>
              </w:rPr>
              <w:t>北海道の評価指標との比較、H09・H10の補完指標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日常生活圏域別（美瑛町4圏域を含む6圏域）の人口・認定者・受給者・給付費</w:t>
            </w:r>
          </w:p>
        </w:tc>
        <w:tc>
          <w:tcPr>
            <w:tcW w:type="dxa" w:w="3118"/>
          </w:tcPr>
          <w:p>
            <w:r/>
            <w:r>
              <w:rPr>
                <w:rFonts w:ascii="游ゴシック" w:hAnsi="游ゴシック" w:eastAsia="游ゴシック"/>
                <w:sz w:val="18"/>
              </w:rPr>
              <w:t>仕様書４（４）が求める圏域別の地域特性分析（未着手）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死亡場所別の死亡数（自宅・施設・医療機関別）</w:t>
            </w:r>
          </w:p>
        </w:tc>
        <w:tc>
          <w:tcPr>
            <w:tcW w:type="dxa" w:w="3118"/>
          </w:tcPr>
          <w:p>
            <w:r/>
            <w:r>
              <w:rPr>
                <w:rFonts w:ascii="游ゴシック" w:hAnsi="游ゴシック" w:eastAsia="游ゴシック"/>
                <w:sz w:val="18"/>
              </w:rPr>
              <w:t>基本指針の新別表 三 人口動態への対応、在宅看取りの実態把握</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有料老人ホーム・サービス付き高齢者向け住宅の施設数・戸数・定員・入居者数・要介護者の状況</w:t>
            </w:r>
          </w:p>
        </w:tc>
        <w:tc>
          <w:tcPr>
            <w:tcW w:type="dxa" w:w="3118"/>
          </w:tcPr>
          <w:p>
            <w:r/>
            <w:r>
              <w:rPr>
                <w:rFonts w:ascii="游ゴシック" w:hAnsi="游ゴシック" w:eastAsia="游ゴシック"/>
                <w:sz w:val="18"/>
              </w:rPr>
              <w:t>基本指針の新別表 八への対応。第10期は基本的記載事項に「要介護者等の入居状況」が追加される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北海道の第9期計画との関係</w:t>
            </w:r>
          </w:p>
        </w:tc>
        <w:tc>
          <w:tcPr>
            <w:tcW w:type="dxa" w:w="7597"/>
          </w:tcPr>
          <w:p>
            <w:r/>
            <w:r>
              <w:rPr>
                <w:rFonts w:ascii="游ゴシック" w:hAnsi="游ゴシック" w:eastAsia="游ゴシック"/>
                <w:sz w:val="18"/>
              </w:rPr>
              <w:t>北海道は基本テーマ「道民みんなで支え合う、明るく活力に満ちた高齢社会づくり」のもとに8つの基本目標を設定し、それぞれに評価指標を置いております。うち①地域包括支援センター運営状況調査の評価結果（71.6％（R3）→全国平均値以上（R8））、②介護従事者の採用率と離職率の差（1.0％（R3）→全国平均以上（R8））、③介護給付適正化の主要3事業の全市町村実施（100％）の3項目は、既存の全国調査又は既存データで算定でき、測定手段が未確定の第10期KPIの代替又は補完に使えます。特に②は第9期の介護人材実態調査の採用者数・退職者数から算定でき、H13・H14の代替となります。</w:t>
            </w:r>
          </w:p>
        </w:tc>
      </w:tr>
      <w:tr>
        <w:tc>
          <w:tcPr>
            <w:tcW w:type="dxa" w:w="1928"/>
          </w:tcPr>
          <w:p>
            <w:r/>
            <w:r>
              <w:rPr>
                <w:rFonts w:ascii="游ゴシック" w:hAnsi="游ゴシック" w:eastAsia="游ゴシック"/>
                <w:sz w:val="18"/>
              </w:rPr>
              <w:t>上川中部圏域における位置</w:t>
            </w:r>
          </w:p>
        </w:tc>
        <w:tc>
          <w:tcPr>
            <w:tcW w:type="dxa" w:w="7597"/>
          </w:tcPr>
          <w:p>
            <w:r/>
            <w:r>
              <w:rPr>
                <w:rFonts w:ascii="游ゴシック" w:hAnsi="游ゴシック" w:eastAsia="游ゴシック"/>
                <w:sz w:val="18"/>
              </w:rPr>
              <w:t>北海道計画 第7章第12節によると、上川中部圏域（旭川市、鷹栖町、東神楽町、当麻町、比布町、愛別町、上川町、東川町、美瑛町、幌加内町）の総人口は377,136人で、構成3町の28,093人は圏域の7.4％です。調整済み給付月額の分布では、当広域連合は施設及び居住系が北海道10,504円に対し13,097円（R5）と24.7％上回る一方、在宅は8,918円に対し9,164円と2.8％上回る程度です。旭川市は逆に在宅が高く施設・居住系が低い構造で、住民の生活圏が重なるだけに住民説明で問われやすい点と考えております。</w:t>
            </w:r>
          </w:p>
        </w:tc>
      </w:tr>
      <w:tr>
        <w:tc>
          <w:tcPr>
            <w:tcW w:type="dxa" w:w="1928"/>
          </w:tcPr>
          <w:p>
            <w:r/>
            <w:r>
              <w:rPr>
                <w:rFonts w:ascii="游ゴシック" w:hAnsi="游ゴシック" w:eastAsia="游ゴシック"/>
                <w:sz w:val="18"/>
              </w:rPr>
              <w:t>圏域の24時間対応サービス</w:t>
            </w:r>
          </w:p>
        </w:tc>
        <w:tc>
          <w:tcPr>
            <w:tcW w:type="dxa" w:w="7597"/>
          </w:tcPr>
          <w:p>
            <w:r/>
            <w:r>
              <w:rPr>
                <w:rFonts w:ascii="游ゴシック" w:hAnsi="游ゴシック" w:eastAsia="游ゴシック"/>
                <w:sz w:val="18"/>
              </w:rPr>
              <w:t>上川中部圏域は定期巡回・随時対応型訪問介護看護を令和4年度実績59.1人/月から令和8年度68.0人/月へ、看護小規模多機能型居宅介護を同1.0人/月から101.0人/月へ見込んでおりますが、当広域連合はいずれも実質ゼロです（定期巡回の第1号1人あたり給付月額は令和7年度15円、看多機・夜間対応型は0円）。要介護5の在宅・居住系割合が54.6％に達している状況と併せ、第6章の整備方針の中心論点になると考えております。</w:t>
            </w:r>
          </w:p>
        </w:tc>
      </w:tr>
      <w:tr>
        <w:tc>
          <w:tcPr>
            <w:tcW w:type="dxa" w:w="1928"/>
          </w:tcPr>
          <w:p>
            <w:r/>
            <w:r>
              <w:rPr>
                <w:rFonts w:ascii="游ゴシック" w:hAnsi="游ゴシック" w:eastAsia="游ゴシック"/>
                <w:sz w:val="18"/>
              </w:rPr>
              <w:t>見える化の指標の受領状況</w:t>
            </w:r>
          </w:p>
        </w:tc>
        <w:tc>
          <w:tcPr>
            <w:tcW w:type="dxa" w:w="7597"/>
          </w:tcPr>
          <w:p>
            <w:r/>
            <w:r>
              <w:rPr>
                <w:rFonts w:ascii="游ゴシック" w:hAnsi="游ゴシック" w:eastAsia="游ゴシック"/>
                <w:sz w:val="18"/>
              </w:rPr>
              <w:t>このたびご提供いただいた「指標リスト（目的別）」により、見える化システムの指標は全906件で、当方が受領しているのはA・B・C・D・P系列の182件（20.1％）であることを確認いたしました。未受領のδ系列（地域分析・自給率）、F系列（地域支援事業）、H系列（介護人材の必要数）、J系列（認知症施策）、K系列（事業所数）、L・M・N・O系列（医療介護連携・従事者数・リハビリ）、W系列（交付金評価指標）に、基本指針の新別表11事項の大半と、測定手段が未確定であったKPIの代替指標が含まれておりました。その後の確認で、①総合事業ベースの通いの場参加率（F1〜F9）と②医療介護連携に関する加算のうち介護報酬側（O系列・令和5年度まで）は出力可能、③介護人材の必要数（H1・H2）と④医療機関・看取り・診療報酬側の連携指標（L系列）はデータ登録がなく提供不可であることが判明いたしました。H1・H2はH13（職種別欠員率）の代替として最有力でしたので、北海道と同じ「採用率と離職率の差」（第9期の介護人材実態調査の採用者数・退職者数から算定）又はM2系列（従事者数・サービス別）での代替に切り替えます。L系列が使えないため、死亡場所別の死亡数は人口動態統計の市区町村別集計又は3町の集計、医療側からの連携の状況は圏域の医療機関への照会で補う必要がございます。</w:t>
            </w:r>
          </w:p>
        </w:tc>
      </w:tr>
      <w:tr>
        <w:tc>
          <w:tcPr>
            <w:tcW w:type="dxa" w:w="1928"/>
          </w:tcPr>
          <w:p>
            <w:r/>
            <w:r>
              <w:rPr>
                <w:rFonts w:ascii="游ゴシック" w:hAnsi="游ゴシック" w:eastAsia="游ゴシック"/>
                <w:sz w:val="18"/>
              </w:rPr>
              <w:t>見える化にまだない指標</w:t>
            </w:r>
          </w:p>
        </w:tc>
        <w:tc>
          <w:tcPr>
            <w:tcW w:type="dxa" w:w="7597"/>
          </w:tcPr>
          <w:p>
            <w:r/>
            <w:r>
              <w:rPr>
                <w:rFonts w:ascii="游ゴシック" w:hAnsi="游ゴシック" w:eastAsia="游ゴシック"/>
                <w:sz w:val="18"/>
              </w:rPr>
              <w:t>一方、入所率・稼働率、介護SCR（性・年齢調整済みレセプト出現比）、人口メッシュは指標リストに見当たらず、基本指針案が（新）としているとおり令和8年度以降の改修で追加されるものと思われます。入所率については、当面は定員（D25〜D27）と受給者数（D1）からの概算、又は施設への直接照会で代替する必要がございます。認定者504人が未利用である要因（施設に空きがあるのか、満床で入れないのか）の判別に直結するため、改修の時期を北海道経由でご確認いただけますと幸いです。</w:t>
            </w:r>
          </w:p>
        </w:tc>
      </w:tr>
      <w:tr>
        <w:tc>
          <w:tcPr>
            <w:tcW w:type="dxa" w:w="1928"/>
          </w:tcPr>
          <w:p>
            <w:r/>
            <w:r>
              <w:rPr>
                <w:rFonts w:ascii="游ゴシック" w:hAnsi="游ゴシック" w:eastAsia="游ゴシック"/>
                <w:sz w:val="18"/>
              </w:rPr>
              <w:t>北海道の施策記述の構成</w:t>
            </w:r>
          </w:p>
        </w:tc>
        <w:tc>
          <w:tcPr>
            <w:tcW w:type="dxa" w:w="7597"/>
          </w:tcPr>
          <w:p>
            <w:r/>
            <w:r>
              <w:rPr>
                <w:rFonts w:ascii="游ゴシック" w:hAnsi="游ゴシック" w:eastAsia="游ゴシック"/>
                <w:sz w:val="18"/>
              </w:rPr>
              <w:t>北海道の計画は第5章の全8節を「（1）現状と課題（2）関連データ（3）施策の方向性（4）主な事業＜事業名及び内容（インプット）／目標（アウトプット）＞（5）達成目標（アウトカム）」の5層で記述しております。例えば第6節（介護人材の養成・確保）は、事業4件、アウトプット目標6項目（初任介護支援専門員OJT研修25人/年、キャリアパス支援研修12,000人/年 ほか）、アウトカム1項目（介護支援専門員従事者数 R4 9,718人→R8 10,331人）という構成です。一方、当広域連合の第9期計画の第5章は「主な取組・管理指標・主体」の3列の表のみで、現状と課題、根拠データ、実施事業、アウトプット目標がございません。第10期基本指針案が「ロジックモデルの活用」を記載充実事項に挙げていることも踏まえ、第5章の記述構成を北海道と同じ5層に改めることを提案いたします。素案の3層構造（本文KPI12項目・補完4項目・施策管理指標）を、施策管理指標＝アウトプット、本文KPI＝アウトカムとして各節に割り付ける形になります。</w:t>
            </w:r>
          </w:p>
        </w:tc>
      </w:tr>
      <w:tr>
        <w:tc>
          <w:tcPr>
            <w:tcW w:type="dxa" w:w="1928"/>
          </w:tcPr>
          <w:p>
            <w:r/>
            <w:r>
              <w:rPr>
                <w:rFonts w:ascii="游ゴシック" w:hAnsi="游ゴシック" w:eastAsia="游ゴシック"/>
                <w:sz w:val="18"/>
              </w:rPr>
              <w:t>北海道の指標単位の読替え</w:t>
            </w:r>
          </w:p>
        </w:tc>
        <w:tc>
          <w:tcPr>
            <w:tcW w:type="dxa" w:w="7597"/>
          </w:tcPr>
          <w:p>
            <w:r/>
            <w:r>
              <w:rPr>
                <w:rFonts w:ascii="游ゴシック" w:hAnsi="游ゴシック" w:eastAsia="游ゴシック"/>
                <w:sz w:val="18"/>
              </w:rPr>
              <w:t>北海道の評価指標・達成目標には「市町村数」を単位とするものが多く（例：介護予防に資する住民主体の通いの場がある市町村数 R4 159→R8 全179市町村）、1保険者である当広域連合にはそのまま適用できません。①日常生活圏域数（6圏域）②実数・率③3町のうち実施している町数、のいずれかへの読替えが必要です。①は圏域設定の見直し、③は3町との合意が前提となります。</w:t>
            </w:r>
          </w:p>
        </w:tc>
      </w:tr>
      <w:tr>
        <w:tc>
          <w:tcPr>
            <w:tcW w:type="dxa" w:w="1928"/>
          </w:tcPr>
          <w:p>
            <w:r/>
            <w:r>
              <w:rPr>
                <w:rFonts w:ascii="游ゴシック" w:hAnsi="游ゴシック" w:eastAsia="游ゴシック"/>
                <w:sz w:val="18"/>
              </w:rPr>
              <w:t>第10期KPIの実測可否</w:t>
            </w:r>
          </w:p>
        </w:tc>
        <w:tc>
          <w:tcPr>
            <w:tcW w:type="dxa" w:w="7597"/>
          </w:tcPr>
          <w:p>
            <w:r/>
            <w:r>
              <w:rPr>
                <w:rFonts w:ascii="游ゴシック" w:hAnsi="游ゴシック" w:eastAsia="游ゴシック"/>
                <w:sz w:val="18"/>
              </w:rPr>
              <w:t>16項目のうち、令和9年度当初から実測できる見通しが立っているのは8項目（H01・H02・H04・H05・H06・H11・H13・H15）です。残り8項目は、業務範囲の決定（H07・H08・H12・H16）、業務記録の様式整備（H09・H10）、設問の追加又は代替（H14）、認定台帳からの抽出（H03）を要します。第9期は5基本目標19施策に対し代表KPIが4項目で評価範囲が不足しておりましたが、第10期の16項目は範囲としては妥当である一方、半数について測定手段が未確定です。第1回委員会で測定手段まで含めてご決定いただく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(7)は第1回委員会での協議事項として資料に反映いたします。２の1〜19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なお、本書に記載した数値の根拠は「第10期計画_妥当性検証報告書」（全21シート）及び「第10期計画素案 第9稿→第10稿 修正指示書」（全59件）に整理しております。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