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92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1900" w:type="dxa"/>
          </w:tcPr>
          <w:p>
            <w:pPr>
              <w:spacing w:after="0"/>
            </w:pPr>
            <w:r>
              <w:rPr>
                <w:rFonts w:ascii="BIZ UDPゴシック" w:hAnsi="BIZ UDPゴシック" w:eastAsia="BIZ UDPゴシック" w:cs="BIZ UDPゴシック"/>
                <w:b w:val="0"/>
                <w:sz w:val="19"/>
              </w:rPr>
              <w:t>12件（ほか1件は当方で確認）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21件（ほか5件は当方で確認）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個別避難計画の現状値</w:t>
            </w:r>
          </w:p>
        </w:tc>
        <w:tc>
          <w:tcPr>
            <w:tcW w:w="75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既にある施策の実績（21件）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当方で確認する分（22件・ご回答は不要です）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22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