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精神病床から退院後１年以内の地域における平均生活日数：319.3日以上（設定時点で既に319.3日以上の場合は、その時点の平均生活日数以上）</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国の基本指針別表第二の三の項は、「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の第８期障がい福祉計画における算定値の提供を県に依頼し、本村の区域における基盤整備量（利用者数）を本項に記載してください。</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が、本村は同表の要件に該当しないと考えられるため、上記の一般則により設定します（本節末尾の確認事項を参照）。</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本村は過疎地域の持続的発展の支援に関する特別措置法に基づく過疎地域であり、全部過疎市町村に該当すると考えられるため、同表の算定方法の適用対象外となる。村の過疎区分を確認の上、確定する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別表第五の適用関係を確定するため、総務省が公表する過疎地域市町村一覧により本村の過疎区分（全部過疎／一部過疎／みなし過疎）を確認してください。仮に全部過疎に該当しない場合は、サービスごとに「18歳以上人口（障害児通所支援は18歳未満人口）に占める利用者割合が上位25％以内か」を確認し、該当するサービスについては全国の伸び率による算定に切り替えるか、同表一の項⑵により個別積上げ方式を採る必要性及び根拠を本計画に明記する必要があり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