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（第4版　国の基本指針案及び北海道第9期計画の受領を反映）</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その結果、修正指示は57件（うち第1回委員会前に対応すべきもの17件）となり、そのうち発注者へのご確認が必要なものが40件ございます。</w:t>
      </w:r>
    </w:p>
    <w:p>
      <w:pPr>
        <w:spacing w:after="200"/>
      </w:pPr>
      <w:r>
        <w:rPr>
          <w:rFonts w:ascii="游ゴシック" w:hAnsi="游ゴシック" w:eastAsia="游ゴシック"/>
          <w:b w:val="0"/>
          <w:sz w:val="21"/>
        </w:rPr>
        <w:t>本書では、第1回委員会でご決定いただきたい事項7件、事務局にてご確認いただきたい事項19件、ご提供をお願いする資料17件に整理しております。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第1回委員会でご決定いただきたい事項（7件）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つきましては、当広域連合の総合事業の実施状況に関する調査における通いの場の数・参加者数をご提供いただけますでしょうか。</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r>
        <w:br w:type="page"/>
      </w:r>
    </w:p>
    <w:p>
      <w:pPr>
        <w:spacing w:after="120" w:before="200"/>
      </w:pPr>
      <w:r>
        <w:rPr>
          <w:rFonts w:ascii="游ゴシック" w:hAnsi="游ゴシック" w:eastAsia="游ゴシック"/>
          <w:b/>
          <w:sz w:val="24"/>
        </w:rPr>
        <w:t>２　事務局にてご確認いただきたい事項（19件）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地域密着型通所介護の給付低下　【新規】</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第9期計画では4施設（東川町1・美瑛町3）で据置きとしておりました。事業所の休廃止・定員縮小の有無を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重度在宅を支えるサービスの整備方針　【新規】</w:t>
            </w:r>
          </w:p>
        </w:tc>
        <w:tc>
          <w:tcPr>
            <w:tcW w:type="dxa" w:w="5216"/>
          </w:tcPr>
          <w:p>
            <w:r/>
            <w:r>
              <w:rPr>
                <w:rFonts w:ascii="游ゴシック" w:hAnsi="游ゴシック" w:eastAsia="游ゴシック"/>
                <w:sz w:val="18"/>
              </w:rPr>
              <w:t>要介護5の在宅・居住系割合が54.6％に達している一方、定期巡回・随時対応型訪問介護看護の給付月額は令和7年度15円、夜間対応型訪問介護と看護小規模多機能型居宅介護は0円です。24時間対応サービスの整備方針、又は訪問介護・訪問看護・小規模多機能での代替方針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介護人材実態調査の設問　【新規】</w:t>
            </w:r>
          </w:p>
        </w:tc>
        <w:tc>
          <w:tcPr>
            <w:tcW w:type="dxa" w:w="5216"/>
          </w:tcPr>
          <w:p>
            <w:r/>
            <w:r>
              <w:rPr>
                <w:rFonts w:ascii="游ゴシック" w:hAnsi="游ゴシック" w:eastAsia="游ゴシック"/>
                <w:sz w:val="18"/>
              </w:rPr>
              <w:t>H13（職種別欠員率）は「必要常勤換算数」、H14（採用者1年定着率）は「採用後12か月時点の在職」を必要としますが、第9期の同調査にこれらの設問は確認できませんでした。第10期の調査票に該当設問があるかご確認ください。ない場合は、H13は求人継続期間又は採用者数と退職者数の差分、H14は年間離職率での代替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ご提供をお願いする資料（17件）</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地域包括ケア「見える化」システムの再出力（①類似保険者比較 ②介護サービス自給率 ③介護SCR（性・年齢調整済みレセプト出現比）④施設・事業所の入所率・稼働率・職員数推移 ⑤医療介護連携の加算算定状況 ⑥人口メッシュ）</w:t>
            </w:r>
          </w:p>
        </w:tc>
        <w:tc>
          <w:tcPr>
            <w:tcW w:type="dxa" w:w="3118"/>
          </w:tcPr>
          <w:p>
            <w:r/>
            <w:r>
              <w:rPr>
                <w:rFonts w:ascii="游ゴシック" w:hAnsi="游ゴシック" w:eastAsia="游ゴシック"/>
                <w:sz w:val="18"/>
              </w:rPr>
              <w:t>仕様書４（４）が求める類似保険者との比較分析、及び第10期基本指針の新別表「確認すべき指標・状況」11事項への対応（現時点で対応できているのは2事項）</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介護予防・日常生活支援総合事業の実施状況に関する調査（通いの場の数・参加者数、多様なサービス・活動の数・参加者数）</w:t>
            </w:r>
          </w:p>
        </w:tc>
        <w:tc>
          <w:tcPr>
            <w:tcW w:type="dxa" w:w="3118"/>
          </w:tcPr>
          <w:p>
            <w:r/>
            <w:r>
              <w:rPr>
                <w:rFonts w:ascii="游ゴシック" w:hAnsi="游ゴシック" w:eastAsia="游ゴシック"/>
                <w:sz w:val="18"/>
              </w:rPr>
              <w:t>通いの場参加率の統計の統一（１（7））、北海道KPIとの比較</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なお、本書に記載した数値の根拠は「第10期計画_妥当性検証報告書」（全18シート）及び「第10期計画素案 第9稿→第10稿 修正指示書」（全57件）に整理しております。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