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現行の6〜10㎥は税抜37円（税込40.7円）で、11〜50㎥の税抜174円（税込191.4円）の4.7分の1。公共下水道では従量課金対象水量の37.9%にこの単価が適用される一方、対応する従量収入は5.3%にとどまる。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この区分を現行の11〜50㎥単価（税抜174円）まで引き上げると、平年度で約8,493千円（現行調定額比 約+19.8%）の増収余地がある。</w:t>
            </w:r>
          </w:p>
          <w:p>
            <w:pPr>
              <w:spacing w:after="60" w:line="290"/>
            </w:pPr>
            <w:r>
              <w:rPr>
                <w:rFonts w:ascii="MS Pゴシック" w:cs="MS Pゴシック" w:eastAsia="MS Pゴシック" w:hAnsi="MS Pゴシック"/>
                <w:color w:val="1A1A1A"/>
                <w:sz w:val="20"/>
                <w:szCs w:val="20"/>
              </w:rPr>
              <w:t xml:space="preserve">③ ただし一気に引き上げると11〜50㎥が6〜10㎥を下回る逆転体系となり、月10㎥の世帯は+57.4%となるため、段階的に縮小する。</w:t>
            </w:r>
          </w:p>
          <w:p>
            <w:pPr>
              <w:spacing w:after="60" w:line="290"/>
            </w:pPr>
            <w:r>
              <w:rPr>
                <w:rFonts w:ascii="MS Pゴシック" w:cs="MS Pゴシック" w:eastAsia="MS Pゴシック" w:hAnsi="MS Pゴシック"/>
                <w:color w:val="1A1A1A"/>
                <w:sz w:val="20"/>
                <w:szCs w:val="20"/>
              </w:rPr>
              <w:t xml:space="preserve">④ 中心案（事務局たたき台）は税抜で「基本使用料1,008円 据置／6〜10㎥ 73円／11〜50㎥ 190円／51㎥〜 220円」。調定額ベースの平均増収率は約9.9%だが、6〜10㎥の単価自体は+97.3%、月10㎥世帯の請求額は+15.1%となる。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9,070件と令和6年度決算統計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経費回収率について、令和6年度決算統計32表から算定した参考値は公共下水道49.9%・漁業集落排水36.9%である。ただし、経営戦略が用いる経費回収率とは算定範囲が異なるため直接比較はできない。本資料では、経営戦略が見込む使用料収入の水準を確保しつつ、現行料金体系の負担配分を見直すことを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令和7年度の調定データには偶数月調定および毎月検針者の一部が含まれていない。この不足は増収額だけでなく料金単価の設計にも影響する（第9章）。</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基本1,008円＋6㎥〜57円）。調定は隔月のため、請求額はこの2倍となる。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区分別の収入シェアと従量課金対象水量シェア（公共下水道・令和7年度）</w:t>
      </w:r>
    </w:p>
    <w:p>
      <w:pPr>
        <w:keepNext/>
        <w:spacing w:after="70" w:before="200"/>
      </w:pPr>
      <w:r>
        <w:rPr>
          <w:rFonts w:ascii="MS Pゴシック" w:cs="MS Pゴシック" w:eastAsia="MS Pゴシック" w:hAnsi="MS Pゴシック"/>
          <w:b/>
          <w:bCs/>
          <w:color w:val="1A1A1A"/>
          <w:sz w:val="19"/>
          <w:szCs w:val="19"/>
        </w:rPr>
        <w:t xml:space="preserve">表2　公共下水道の区分別収入</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700"/>
        <w:gridCol w:w="1750"/>
        <w:gridCol w:w="1550"/>
        <w:gridCol w:w="1950"/>
        <w:gridCol w:w="1650"/>
      </w:tblGrid>
      <w:tr>
        <w:trPr>
          <w:tblHeader/>
        </w:trPr>
        <w:tc>
          <w:tcPr>
            <w:tcW w:type="dxa" w:w="2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収入シェア</w:t>
            </w:r>
          </w:p>
        </w:tc>
        <w:tc>
          <w:tcPr>
            <w:tcW w:type="dxa" w:w="1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水量シェア</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15,864,710</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1,888,236</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5.3%</w:t>
            </w:r>
          </w:p>
        </w:tc>
        <w:tc>
          <w:tcPr>
            <w:tcW w:type="dxa" w:w="1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46,394</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37.9%</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12,699,581</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35.7%</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66,351</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54.1%</w:t>
            </w:r>
          </w:p>
        </w:tc>
      </w:tr>
      <w:tr>
        <w:tc>
          <w:tcPr>
            <w:tcW w:type="dxa" w:w="2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2,156,440</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6.1%</w:t>
            </w:r>
          </w:p>
        </w:tc>
        <w:tc>
          <w:tcPr>
            <w:tcW w:type="dxa" w:w="1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9,802</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8.0%</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特殊算定（日割・異動等）</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3,007,563</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従量課金対象水量は、基本使用料に含まれる水量（2か月10㎥）を除いた水量であり、全汚水量ではない。</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公共下水道では、基本水量を除く従量課金対象水量の37.9%に6〜10㎥単価が適用されている一方、同区分に対応する従量収入は5.3%である。</w:t>
            </w:r>
          </w:p>
          <w:p>
            <w:pPr>
              <w:spacing w:after="60" w:line="290"/>
            </w:pPr>
            <w:r>
              <w:rPr>
                <w:rFonts w:ascii="MS Pゴシック" w:cs="MS Pゴシック" w:eastAsia="MS Pゴシック" w:hAnsi="MS Pゴシック"/>
                <w:color w:val="1A1A1A"/>
                <w:sz w:val="20"/>
                <w:szCs w:val="20"/>
              </w:rPr>
              <w:t xml:space="preserve">漁業集落排水もほぼ同じ構造で、水量33.9%・収入5.5%となっている。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42,987,132円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R7年度奇数月6回調定</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51,480,990円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8,493,858円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+19.8%</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6〜10㎥区分の単価差を解消するだけで、平均増収率19.8%に相当する規模の増収余地がある。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単価差をどこまで縮めるかの選択肢</w:t>
      </w:r>
    </w:p>
    <w:p>
      <w:pPr>
        <w:spacing w:after="120" w:before="0" w:line="300"/>
      </w:pPr>
      <w:r>
        <w:rPr>
          <w:rFonts w:ascii="MS Pゴシック" w:cs="MS Pゴシック" w:eastAsia="MS Pゴシック" w:hAnsi="MS Pゴシック"/>
          <w:color w:val="1A1A1A"/>
          <w:sz w:val="21"/>
          <w:szCs w:val="21"/>
        </w:rPr>
        <w:t xml:space="preserve">調定額ベースの平均増収率を約10%に固定し、基本使用料を据え置いたうえで、6〜10㎥をどこまで引き上げるかを比較した。6〜10㎥を上げるほど11〜50㎥は抑えられるため、負担の配分が変わる。</w:t>
      </w:r>
    </w:p>
    <w:p>
      <w:pPr>
        <w:keepNext/>
        <w:spacing w:after="70" w:before="200"/>
      </w:pPr>
      <w:r>
        <w:rPr>
          <w:rFonts w:ascii="MS Pゴシック" w:cs="MS Pゴシック" w:eastAsia="MS Pゴシック" w:hAnsi="MS Pゴシック"/>
          <w:b/>
          <w:bCs/>
          <w:color w:val="1A1A1A"/>
          <w:sz w:val="19"/>
          <w:szCs w:val="19"/>
        </w:rPr>
        <w:t xml:space="preserve">表4　単価差の縮小水準別の料金と世帯影響（単価は税抜）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+48.6%</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+14.8%</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+11.6%</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6〜10㎥を174円に揃えると、平均増収率を約10%に保つために11〜50㎥が122円まで下がり、6〜10㎥より安くなる逆転体系となる。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また月10㎥の世帯は+57.4%となる一方、月30㎥以上は減額（月50㎥で−17.1%）となる。</w:t>
            </w:r>
          </w:p>
          <w:p>
            <w:pPr>
              <w:spacing w:after="60" w:line="290"/>
            </w:pPr>
            <w:r>
              <w:rPr>
                <w:rFonts w:ascii="MS Pゴシック" w:cs="MS Pゴシック" w:eastAsia="MS Pゴシック" w:hAnsi="MS Pゴシック"/>
                <w:color w:val="1A1A1A"/>
                <w:sz w:val="20"/>
                <w:szCs w:val="20"/>
              </w:rPr>
              <w:t xml:space="preserve">したがって表4の最下段は実施案ではなく、比較の端点として示すものである。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中心案と各家庭への影響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中心案の料金表</w:t>
      </w:r>
    </w:p>
    <w:p>
      <w:pPr>
        <w:spacing w:after="120" w:before="0" w:line="300"/>
      </w:pPr>
      <w:r>
        <w:rPr>
          <w:rFonts w:ascii="MS Pゴシック" w:cs="MS Pゴシック" w:eastAsia="MS Pゴシック" w:hAnsi="MS Pゴシック"/>
          <w:color w:val="1A1A1A"/>
          <w:sz w:val="21"/>
          <w:szCs w:val="21"/>
        </w:rPr>
        <w:t xml:space="preserve">「基本使用料は据置、6〜10㎥を税抜37円→73円」を比較上の中心案（事務局たたき台）とする。</w:t>
      </w:r>
    </w:p>
    <w:p>
      <w:pPr>
        <w:keepNext/>
        <w:spacing w:after="70" w:before="200"/>
      </w:pPr>
      <w:r>
        <w:rPr>
          <w:rFonts w:ascii="MS Pゴシック" w:cs="MS Pゴシック" w:eastAsia="MS Pゴシック" w:hAnsi="MS Pゴシック"/>
          <w:b/>
          <w:bCs/>
          <w:color w:val="1A1A1A"/>
          <w:sz w:val="19"/>
          <w:szCs w:val="19"/>
        </w:rPr>
        <w:t xml:space="preserve">表5　料金案（条例別表と同じ税抜単価）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350"/>
        <w:gridCol w:w="1250"/>
        <w:gridCol w:w="1250"/>
        <w:gridCol w:w="1250"/>
        <w:gridCol w:w="1300"/>
        <w:gridCol w:w="12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平均増収率 約10%</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1,008円（据置）</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約15%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r>
    </w:tbl>
    <w:p>
      <w:pPr>
        <w:spacing w:after="200" w:before="40"/>
      </w:pPr>
      <w:r>
        <w:rPr>
          <w:rFonts w:ascii="MS Pゴシック" w:cs="MS Pゴシック" w:eastAsia="MS Pゴシック" w:hAnsi="MS Pゴシック"/>
          <w:color w:val="5F6F74"/>
          <w:sz w:val="17"/>
          <w:szCs w:val="17"/>
        </w:rPr>
        <w:t xml:space="preserve">中心案の税込換算は 基本1,108.8円／6〜10㎥ 80.3円／11〜50㎥ 209.0円／51㎥〜 242.0円。</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中心案の区分単価の改定率は、基本使用料 ±0%、6〜10㎥ +97.3%、11〜50㎥ +9.2%、51㎥〜 +10.0% である。</w:t>
            </w:r>
          </w:p>
          <w:p>
            <w:pPr>
              <w:spacing w:after="60" w:line="290"/>
            </w:pPr>
            <w:r>
              <w:rPr>
                <w:rFonts w:ascii="MS Pゴシック" w:cs="MS Pゴシック" w:eastAsia="MS Pゴシック" w:hAnsi="MS Pゴシック"/>
                <w:color w:val="1A1A1A"/>
                <w:sz w:val="20"/>
                <w:szCs w:val="20"/>
              </w:rPr>
              <w:t xml:space="preserve">「10%改定」と表現すると6〜10㎥の+97.3%が見えなくなるため、本資料では「調定額ベースの平均増収率 約10%」と表記している。</w:t>
            </w:r>
          </w:p>
          <w:p>
            <w:pPr>
              <w:spacing w:after="60" w:line="290"/>
            </w:pPr>
            <w:r>
              <w:rPr>
                <w:rFonts w:ascii="MS Pゴシック" w:cs="MS Pゴシック" w:eastAsia="MS Pゴシック" w:hAnsi="MS Pゴシック"/>
                <w:color w:val="1A1A1A"/>
                <w:sz w:val="20"/>
                <w:szCs w:val="20"/>
              </w:rPr>
              <w:t xml:space="preserve">第2段階（累計 約20%）では、6〜10㎥は税抜37円→109円（+194.6%）となる。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中心案を中心に置いた理由</w:t>
      </w:r>
    </w:p>
    <w:p>
      <w:pPr>
        <w:spacing w:after="120" w:before="0" w:line="300"/>
      </w:pPr>
      <w:r>
        <w:rPr>
          <w:rFonts w:ascii="MS Pゴシック" w:cs="MS Pゴシック" w:eastAsia="MS Pゴシック" w:hAnsi="MS Pゴシック"/>
          <w:color w:val="1A1A1A"/>
          <w:sz w:val="21"/>
          <w:szCs w:val="21"/>
        </w:rPr>
        <w:t xml:space="preserve">中心案は、次の4条件を比較的均衡して満たすため、比較上の中心に置いた。</w:t>
      </w:r>
    </w:p>
    <w:p>
      <w:pPr>
        <w:spacing w:after="80" w:before="0" w:line="300"/>
      </w:pPr>
      <w:r>
        <w:rPr>
          <w:rFonts w:ascii="MS Pゴシック" w:cs="MS Pゴシック" w:eastAsia="MS Pゴシック" w:hAnsi="MS Pゴシック"/>
          <w:b/>
          <w:bCs/>
          <w:color w:val="1A1A1A"/>
          <w:sz w:val="20"/>
          <w:szCs w:val="20"/>
        </w:rPr>
        <w:t xml:space="preserve">① 平均増収率　</w:t>
      </w:r>
      <w:r>
        <w:rPr>
          <w:rFonts w:ascii="MS Pゴシック" w:cs="MS Pゴシック" w:eastAsia="MS Pゴシック" w:hAnsi="MS Pゴシック"/>
          <w:color w:val="1A1A1A"/>
          <w:sz w:val="20"/>
          <w:szCs w:val="20"/>
        </w:rPr>
        <w:t xml:space="preserve">調定額ベースで約9.9%を確保し、経営戦略が見込む収入水準に対応する。</w:t>
      </w:r>
    </w:p>
    <w:p>
      <w:pPr>
        <w:spacing w:after="80" w:before="0" w:line="300"/>
      </w:pPr>
      <w:r>
        <w:rPr>
          <w:rFonts w:ascii="MS Pゴシック" w:cs="MS Pゴシック" w:eastAsia="MS Pゴシック" w:hAnsi="MS Pゴシック"/>
          <w:b/>
          <w:bCs/>
          <w:color w:val="1A1A1A"/>
          <w:sz w:val="20"/>
          <w:szCs w:val="20"/>
        </w:rPr>
        <w:t xml:space="preserve">② 少量利用者　</w:t>
      </w:r>
      <w:r>
        <w:rPr>
          <w:rFonts w:ascii="MS Pゴシック" w:cs="MS Pゴシック" w:eastAsia="MS Pゴシック" w:hAnsi="MS Pゴシック"/>
          <w:color w:val="1A1A1A"/>
          <w:sz w:val="20"/>
          <w:szCs w:val="20"/>
        </w:rPr>
        <w:t xml:space="preserve">月5㎥以下（公共で件数の21.7%）は基本使用料の据置により負担増が生じない。</w:t>
      </w:r>
    </w:p>
    <w:p>
      <w:pPr>
        <w:spacing w:after="80" w:before="0" w:line="300"/>
      </w:pPr>
      <w:r>
        <w:rPr>
          <w:rFonts w:ascii="MS Pゴシック" w:cs="MS Pゴシック" w:eastAsia="MS Pゴシック" w:hAnsi="MS Pゴシック"/>
          <w:b/>
          <w:bCs/>
          <w:color w:val="1A1A1A"/>
          <w:sz w:val="20"/>
          <w:szCs w:val="20"/>
        </w:rPr>
        <w:t xml:space="preserve">③ 負担のばらつき　</w:t>
      </w:r>
      <w:r>
        <w:rPr>
          <w:rFonts w:ascii="MS Pゴシック" w:cs="MS Pゴシック" w:eastAsia="MS Pゴシック" w:hAnsi="MS Pゴシック"/>
          <w:color w:val="1A1A1A"/>
          <w:sz w:val="20"/>
          <w:szCs w:val="20"/>
        </w:rPr>
        <w:t xml:space="preserve">主要な使用量帯（月8〜50㎥）の増加率が+9.7%〜+15.1%（幅5.4ポイント）に収まる。弱い縮小では+4.8%〜+14.8%（幅10.0ポイント）、強い縮小では+2.9%〜+26.4%（幅23.5ポイント）となり、中心案が最も均等である。</w:t>
      </w:r>
    </w:p>
    <w:p>
      <w:pPr>
        <w:spacing w:after="80" w:before="0" w:line="300"/>
      </w:pPr>
      <w:r>
        <w:rPr>
          <w:rFonts w:ascii="MS Pゴシック" w:cs="MS Pゴシック" w:eastAsia="MS Pゴシック" w:hAnsi="MS Pゴシック"/>
          <w:b/>
          <w:bCs/>
          <w:color w:val="1A1A1A"/>
          <w:sz w:val="20"/>
          <w:szCs w:val="20"/>
        </w:rPr>
        <w:t xml:space="preserve">④ 単価の開き　</w:t>
      </w:r>
      <w:r>
        <w:rPr>
          <w:rFonts w:ascii="MS Pゴシック" w:cs="MS Pゴシック" w:eastAsia="MS Pゴシック" w:hAnsi="MS Pゴシック"/>
          <w:color w:val="1A1A1A"/>
          <w:sz w:val="20"/>
          <w:szCs w:val="20"/>
        </w:rPr>
        <w:t xml:space="preserve">11㎥時点の単価の開きを4.70倍から2.60倍まで縮小する。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各家庭への影響（中心案）</w:t>
      </w:r>
    </w:p>
    <w:p>
      <w:pPr>
        <w:spacing w:after="120" w:before="0" w:line="300"/>
      </w:pPr>
      <w:r>
        <w:rPr>
          <w:rFonts w:ascii="MS Pゴシック" w:cs="MS Pゴシック" w:eastAsia="MS Pゴシック" w:hAnsi="MS Pゴシック"/>
          <w:color w:val="1A1A1A"/>
          <w:sz w:val="21"/>
          <w:szCs w:val="21"/>
        </w:rPr>
        <w:t xml:space="preserve">調定は隔月のため、実際の請求額は月額の2倍となる。次表は2か月分の請求額（税込）で示した。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表6　中心案における2か月分請求額の変化（一般汚水・税込）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+396円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4人世帯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+748円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9,290円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15,560円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+1,452円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+1,804円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+4,004円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pStyle w:val="Heading2"/>
        <w:keepNext/>
        <w:spacing w:after="100" w:before="240"/>
      </w:pPr>
      <w:r>
        <w:rPr>
          <w:rFonts w:ascii="MS Pゴシック" w:cs="MS Pゴシック" w:eastAsia="MS Pゴシック" w:hAnsi="MS Pゴシック"/>
          <w:b/>
          <w:bCs/>
          <w:color w:val="12939E"/>
          <w:sz w:val="22"/>
          <w:szCs w:val="22"/>
        </w:rPr>
        <w:t xml:space="preserve">5-4　どの世帯がどれだけいるか</w:t>
      </w:r>
    </w:p>
    <w:p>
      <w:pPr>
        <w:keepNext/>
        <w:spacing w:after="70" w:before="200"/>
      </w:pPr>
      <w:r>
        <w:rPr>
          <w:rFonts w:ascii="MS Pゴシック" w:cs="MS Pゴシック" w:eastAsia="MS Pゴシック" w:hAnsi="MS Pゴシック"/>
          <w:b/>
          <w:bCs/>
          <w:color w:val="1A1A1A"/>
          <w:sz w:val="19"/>
          <w:szCs w:val="19"/>
        </w:rPr>
        <w:t xml:space="preserve">表7　月使用量帯別の構成（令和7年度調定）</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00"/>
        <w:gridCol w:w="1900"/>
        <w:gridCol w:w="1200"/>
        <w:gridCol w:w="1200"/>
        <w:gridCol w:w="1200"/>
        <w:gridCol w:w="1200"/>
        <w:gridCol w:w="1200"/>
      </w:tblGrid>
      <w:tr>
        <w:trPr>
          <w:tblHeader/>
        </w:trPr>
        <w:tc>
          <w:tcPr>
            <w:tcW w:type="dxa" w:w="1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10.3%</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19.9%</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12.8%</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296</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29.1%</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35.3%</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5人以上世帯など</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247</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8.6%</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大口（事業所・公共施設）</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0.8%</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487</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0.3%</w:t>
            </w:r>
          </w:p>
        </w:tc>
      </w:tr>
    </w:tbl>
    <w:p>
      <w:pPr>
        <w:spacing w:after="200" w:before="40"/>
      </w:pPr>
      <w:r>
        <w:rPr>
          <w:rFonts w:ascii="MS Pゴシック" w:cs="MS Pゴシック" w:eastAsia="MS Pゴシック" w:hAnsi="MS Pゴシック"/>
          <w:color w:val="5F6F74"/>
          <w:sz w:val="17"/>
          <w:szCs w:val="17"/>
        </w:rPr>
        <w:t xml:space="preserve">据置となる月5㎥以下は件数の約2割、金額の約1割を占める。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平年度増収額と参考経費回収率</w:t>
      </w:r>
    </w:p>
    <w:p>
      <w:pPr>
        <w:keepNext/>
        <w:spacing w:after="70" w:before="200"/>
      </w:pPr>
      <w:r>
        <w:rPr>
          <w:rFonts w:ascii="MS Pゴシック" w:cs="MS Pゴシック" w:eastAsia="MS Pゴシック" w:hAnsi="MS Pゴシック"/>
          <w:b/>
          <w:bCs/>
          <w:color w:val="1A1A1A"/>
          <w:sz w:val="19"/>
          <w:szCs w:val="19"/>
        </w:rPr>
        <w:t xml:space="preserve">表8　料金案別の平年度増収額と参考経費回収率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900"/>
        <w:gridCol w:w="1550"/>
        <w:gridCol w:w="1500"/>
        <w:gridCol w:w="1500"/>
        <w:gridCol w:w="14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平年度増収額（参考）</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2,135,226円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52.3%</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約10%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4,269,216円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40.6%</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6,493,678円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の1年分相当の調定分布に新料金を当てたもの・税込）。施行日が未定のため初年度影響額は別途算定が必要。参考経費回収率は、令和6年度決算の使用料・汚水処理費を固定し使用料改定のみを反映した静態試算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経営戦略は令和8年度に約+10%、令和13年度にさらに約+10%（現行比 約+20%）の使用料収入の増加を見込んでいる。この収入水準に合わせて6〜10㎥の単価差を段階的に縮小すると、次のようになる。</w:t>
      </w:r>
    </w:p>
    <w:p>
      <w:pPr>
        <w:keepNext/>
        <w:spacing w:after="70" w:before="200"/>
      </w:pPr>
      <w:r>
        <w:rPr>
          <w:rFonts w:ascii="MS Pゴシック" w:cs="MS Pゴシック" w:eastAsia="MS Pゴシック" w:hAnsi="MS Pゴシック"/>
          <w:b/>
          <w:bCs/>
          <w:color w:val="1A1A1A"/>
          <w:sz w:val="19"/>
          <w:szCs w:val="19"/>
        </w:rPr>
        <w:t xml:space="preserve">表9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2.60倍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現行4.70倍の開きは、第1段階で2.60倍、第2段階で1.90倍まで縮まる。2段階を経ても同単価には至らないが、10年かけて偏りを大きく改善できる。</w:t>
      </w:r>
    </w:p>
    <w:p>
      <w:pPr>
        <w:keepNext/>
        <w:spacing w:after="70" w:before="200"/>
      </w:pPr>
      <w:r>
        <w:rPr>
          <w:rFonts w:ascii="MS Pゴシック" w:cs="MS Pゴシック" w:eastAsia="MS Pゴシック" w:hAnsi="MS Pゴシック"/>
          <w:b/>
          <w:bCs/>
          <w:color w:val="1A1A1A"/>
          <w:sz w:val="19"/>
          <w:szCs w:val="19"/>
        </w:rPr>
        <w:t xml:space="preserve">表10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3,416円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48,032円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+20.3%</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経営戦略との関係</w:t>
            </w:r>
          </w:p>
          <w:p>
            <w:pPr>
              <w:spacing w:after="60" w:line="290"/>
            </w:pPr>
            <w:r>
              <w:rPr>
                <w:rFonts w:ascii="MS Pゴシック" w:cs="MS Pゴシック" w:eastAsia="MS Pゴシック" w:hAnsi="MS Pゴシック"/>
                <w:color w:val="1A1A1A"/>
                <w:sz w:val="20"/>
                <w:szCs w:val="20"/>
              </w:rPr>
              <w:t xml:space="preserve">本案は「経営戦略が見込む約10%の増収水準を確保しつつ、現行料金体系の単価差を縮小する案」である。</w:t>
            </w:r>
          </w:p>
          <w:p>
            <w:pPr>
              <w:spacing w:after="60" w:line="290"/>
            </w:pPr>
            <w:r>
              <w:rPr>
                <w:rFonts w:ascii="MS Pゴシック" w:cs="MS Pゴシック" w:eastAsia="MS Pゴシック" w:hAnsi="MS Pゴシック"/>
                <w:color w:val="1A1A1A"/>
                <w:sz w:val="20"/>
                <w:szCs w:val="20"/>
              </w:rPr>
              <w:t xml:space="preserve">経営戦略が検証しているのは使用料収入の増加であり、区分間の負担配分までを事前に決定しているわけではない。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表11　条例別表に載せる税抜単価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500"/>
        <w:gridCol w:w="1750"/>
        <w:gridCol w:w="1750"/>
        <w:gridCol w:w="1800"/>
        <w:gridCol w:w="1800"/>
      </w:tblGrid>
      <w:tr>
        <w:trPr>
          <w:tblHeader/>
        </w:trPr>
        <w:tc>
          <w:tcPr>
            <w:tcW w:type="dxa" w:w="2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中心案（税抜）</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第2段階（税抜）</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中心案の税込（参考）</w:t>
            </w:r>
          </w:p>
        </w:tc>
      </w:tr>
      <w:tr>
        <w:tc>
          <w:tcPr>
            <w:tcW w:type="dxa" w:w="2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2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6〜10㎥（1㎥につき）</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109円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2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11〜50㎥（1㎥につき）</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209.0円</w:t>
            </w:r>
          </w:p>
        </w:tc>
      </w:tr>
      <w:tr>
        <w:tc>
          <w:tcPr>
            <w:tcW w:type="dxa" w:w="2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51㎥〜（1㎥につき）</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240円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bl>
    <w:p>
      <w:pPr>
        <w:spacing w:after="200" w:before="40"/>
      </w:pPr>
      <w:r>
        <w:rPr>
          <w:rFonts w:ascii="MS Pゴシック" w:cs="MS Pゴシック" w:eastAsia="MS Pゴシック" w:hAnsi="MS Pゴシック"/>
          <w:color w:val="5F6F74"/>
          <w:sz w:val="17"/>
          <w:szCs w:val="17"/>
        </w:rPr>
        <w:t xml:space="preserve">税込は税抜額に消費税及び地方消費税を加算し、1円未満を切り捨てて算定する。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中心案の税込80.3円は税抜72.727…円ではなく、税抜73円を定めた結果である。政策検討用の税込値から逆算するのではなく、条例に載せる税抜単価を先に決め、そこから税込を導いている。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公共下水道条例と漁業集落排水処理施設条例の別表はいずれも同額であり、両方を改正する必要がある。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6㎥〜57円である。令和7年度の調定データからは適用者を確認できないため今回の試算対象外としているが、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w:t>
      </w:r>
    </w:p>
    <w:p>
      <w:pPr>
        <w:spacing w:after="120" w:before="0" w:line="300"/>
        <w:ind w:left="240"/>
      </w:pPr>
      <w:r>
        <w:rPr>
          <w:rFonts w:ascii="MS Pゴシック" w:cs="MS Pゴシック" w:eastAsia="MS Pゴシック" w:hAnsi="MS Pゴシック"/>
          <w:color w:val="1A1A1A"/>
          <w:sz w:val="21"/>
          <w:szCs w:val="21"/>
        </w:rPr>
        <w:t xml:space="preserve">2か月分の請求額は「税抜額×1.1」の1円未満を切り捨てて算定している。改正にあたっては端数処理の方法を条文上明確にする。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令和8年度予算と経営戦略の関係</w:t>
      </w:r>
    </w:p>
    <w:p>
      <w:pPr>
        <w:spacing w:after="120" w:before="0" w:line="300"/>
      </w:pPr>
      <w:r>
        <w:rPr>
          <w:rFonts w:ascii="MS Pゴシック" w:cs="MS Pゴシック" w:eastAsia="MS Pゴシック" w:hAnsi="MS Pゴシック"/>
          <w:color w:val="1A1A1A"/>
          <w:sz w:val="21"/>
          <w:szCs w:val="21"/>
        </w:rPr>
        <w:t xml:space="preserve">経常収支比率・経費回収率は損益（税抜）ベースの指標であり、3条予算（税込）と混在させると不整合になる。本章はすべて税抜＝損益ベースに統一して整理している。</w:t>
      </w:r>
    </w:p>
    <w:p>
      <w:pPr>
        <w:spacing w:after="40" w:before="120" w:line="300"/>
      </w:pPr>
      <w:r>
        <w:rPr>
          <w:rFonts w:ascii="MS Pゴシック" w:cs="MS Pゴシック" w:eastAsia="MS Pゴシック" w:hAnsi="MS Pゴシック"/>
          <w:b/>
          <w:bCs/>
          <w:color w:val="1A1A1A"/>
          <w:sz w:val="20"/>
          <w:szCs w:val="20"/>
        </w:rPr>
        <w:t xml:space="preserve">■ 決算統計は調査表ごとに税区分が分かれている</w:t>
      </w:r>
    </w:p>
    <w:p>
      <w:pPr>
        <w:spacing w:after="120" w:before="0" w:line="300"/>
        <w:ind w:left="240"/>
      </w:pPr>
      <w:r>
        <w:rPr>
          <w:rFonts w:ascii="MS Pゴシック" w:cs="MS Pゴシック" w:eastAsia="MS Pゴシック" w:hAnsi="MS Pゴシック"/>
          <w:color w:val="1A1A1A"/>
          <w:sz w:val="21"/>
          <w:szCs w:val="21"/>
        </w:rPr>
        <w:t xml:space="preserve">令和6年度 地方公営企業決算状況調査表作成要領によれば、20表 損益計算書・21表 費用構成表・32表 経営分析に関する調（一）は税抜、23表 資本的収支に関する調・26表 歳入歳出決算に関する調・33表 経営分析に関する調（二）は税込である。さらに32表の26．は「（02行）列24「（再掲）下水道使用料」は、20表列3（法非適用企業にあっては26表列3）と同額を記入する」と定めている。つまり決算統計上の下水道使用料は、法適用企業では税抜、法非適用企業では税込である。本町は令和6年度から法適用であり、令和1〜5年度は税込、令和6年度以降は税抜という断絶がある。</w:t>
      </w:r>
    </w:p>
    <w:p>
      <w:pPr>
        <w:keepNext/>
        <w:spacing w:after="70" w:before="200"/>
      </w:pPr>
      <w:r>
        <w:rPr>
          <w:rFonts w:ascii="MS Pゴシック" w:cs="MS Pゴシック" w:eastAsia="MS Pゴシック" w:hAnsi="MS Pゴシック"/>
          <w:b/>
          <w:bCs/>
          <w:color w:val="1A1A1A"/>
          <w:sz w:val="19"/>
          <w:szCs w:val="19"/>
        </w:rPr>
        <w:t xml:space="preserve">表12　本町の各数値の税区分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400"/>
        <w:gridCol w:w="1300"/>
        <w:gridCol w:w="4900"/>
      </w:tblGrid>
      <w:tr>
        <w:trPr>
          <w:tblHeader/>
        </w:trPr>
        <w:tc>
          <w:tcPr>
            <w:tcW w:type="dxa" w:w="34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資料・数値</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税区分</w:t>
            </w:r>
          </w:p>
        </w:tc>
        <w:tc>
          <w:tcPr>
            <w:tcW w:type="dxa" w:w="4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根拠</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3条予算（収益的収入）・予算明細書</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R7当初予算43,174千円÷1.1＝39,249千円＝予定損益計算書39,250千円</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決算報告書</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決算額欄に「うち仮受消費税及び地方消費税4,054,480円」</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損益計算書</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決算書 注記Ⅰ-3「消費税及び地方消費税の会計処理は税抜方式」</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決算統計32表(24) 下水道使用料</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税抜</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作成要領26．＋法適用は令和6年度から</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調定額（条例による賦課）</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条例第17条（税抜額に消費税を加算し1円未満切捨て）</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経常収支比率・経費回収率</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20表・32表から算定</w:t>
            </w:r>
          </w:p>
        </w:tc>
      </w:tr>
    </w:tbl>
    <w:p>
      <w:pPr>
        <w:spacing w:after="40" w:before="160" w:line="300"/>
      </w:pPr>
      <w:r>
        <w:rPr>
          <w:rFonts w:ascii="MS Pゴシック" w:cs="MS Pゴシック" w:eastAsia="MS Pゴシック" w:hAnsi="MS Pゴシック"/>
          <w:b/>
          <w:bCs/>
          <w:color w:val="1A1A1A"/>
          <w:sz w:val="20"/>
          <w:szCs w:val="20"/>
        </w:rPr>
        <w:t xml:space="preserve">■ 経営戦略の使用料収入は税区分が不整合である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令和1〜4年度は法非適用期間であるため、この実績単価は税込ベースである。一方、経営戦略の収支シミュレーションは減価償却費・長期前受金戻入・経常収支比率を扱う損益ベース＝税抜の枠組みである。つまり税込ベースの単価を税抜ベースのシミュレーションに投入しており、経営戦略の使用料収入は税抜ベースとして約9.1%過大である。実績単価と突き合わせると、採用単価は実績の税込単価（公共176.7〜176.9円・漁集175.1〜175.6円）とは1.6〜2.5%しか違わないのに対し、実績の税抜単価（159.2〜160.8円）とは7.2〜8.3%乖離する。</w:t>
      </w:r>
    </w:p>
    <w:p>
      <w:pPr>
        <w:keepNext/>
        <w:spacing w:after="70" w:before="200"/>
      </w:pPr>
      <w:r>
        <w:rPr>
          <w:rFonts w:ascii="MS Pゴシック" w:cs="MS Pゴシック" w:eastAsia="MS Pゴシック" w:hAnsi="MS Pゴシック"/>
          <w:b/>
          <w:bCs/>
          <w:color w:val="1A1A1A"/>
          <w:sz w:val="19"/>
          <w:szCs w:val="19"/>
        </w:rPr>
        <w:t xml:space="preserve">表13　令和8年度の差異ブリッジ（単位：千円・すべて税抜）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経営戦略のケース①は「5年毎に10%ずつ使用料を上昇」させる想定であり、その初回が令和8年度にあたる。有収水量は経営戦略の272,275㎥に対し令和7年度実績252,955㎥（7.6%過大）である。令和8年度当初予算の下水道使用料41,906千円（税込）は公共34,356千円＋漁集7,550千円の合算で、税抜換算38,096千円。記載値52,273千円との差は合計14,177千円となる。中間点が「経営戦略の現況継続42,944→令和7年度決算40,586→令和8年度予算38,096」と並び、すべて税抜で通っている。予算が決算を6.1%下回るのは、令和8年度当初予算が令和7年度決算（案）が固まるより前に編成されるためである。</w:t>
      </w:r>
    </w:p>
    <w:p>
      <w:pPr>
        <w:spacing w:after="40" w:before="160" w:line="300"/>
      </w:pPr>
      <w:r>
        <w:rPr>
          <w:rFonts w:ascii="MS Pゴシック" w:cs="MS Pゴシック" w:eastAsia="MS Pゴシック" w:hAnsi="MS Pゴシック"/>
          <w:b/>
          <w:bCs/>
          <w:color w:val="1A1A1A"/>
          <w:sz w:val="20"/>
          <w:szCs w:val="20"/>
        </w:rPr>
        <w:t xml:space="preserve">■ 改定の効果（税抜・損益ベース）</w:t>
      </w:r>
    </w:p>
    <w:p>
      <w:pPr>
        <w:spacing w:after="120" w:before="0" w:line="300"/>
        <w:ind w:left="240"/>
      </w:pPr>
      <w:r>
        <w:rPr>
          <w:rFonts w:ascii="MS Pゴシック" w:cs="MS Pゴシック" w:eastAsia="MS Pゴシック" w:hAnsi="MS Pゴシック"/>
          <w:color w:val="1A1A1A"/>
          <w:sz w:val="21"/>
          <w:szCs w:val="21"/>
        </w:rPr>
        <w:t xml:space="preserve">中心案の調定額ベース平均増収率+9.93%は比率であるため、税抜の基礎にそのまま適用できる。令和7年度の年間全件調定額（税抜40,526千円）を基礎とすると改定後は44,550千円、増収額は約4,024千円（税抜）・約4,427千円（税込）となる。令和7年度決算（税抜40,586千円）を基礎としてもほぼ同じで、両者は0.15%で一致する。令和8年度予算を基礎にすると実績を6.1%下回るため増収額も約240千円小さく出るので、保守的な下限として併記するのが妥当である。</w:t>
      </w:r>
    </w:p>
    <w:p>
      <w:pPr>
        <w:keepNext/>
        <w:spacing w:after="70" w:before="200"/>
      </w:pPr>
      <w:r>
        <w:rPr>
          <w:rFonts w:ascii="MS Pゴシック" w:cs="MS Pゴシック" w:eastAsia="MS Pゴシック" w:hAnsi="MS Pゴシック"/>
          <w:b/>
          <w:bCs/>
          <w:color w:val="1A1A1A"/>
          <w:sz w:val="19"/>
          <w:szCs w:val="19"/>
        </w:rPr>
        <w:t xml:space="preserve">表14　経営指標への反映（令和7年度決算を基礎とした静態試算・税抜）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200"/>
        <w:gridCol w:w="2100"/>
        <w:gridCol w:w="2100"/>
        <w:gridCol w:w="2200"/>
      </w:tblGrid>
      <w:tr>
        <w:trPr>
          <w:tblHeader/>
        </w:trPr>
        <w:tc>
          <w:tcPr>
            <w:tcW w:type="dxa" w:w="3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指標</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R7実績</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改定後</w:t>
            </w:r>
          </w:p>
        </w:tc>
        <w:tc>
          <w:tcPr>
            <w:tcW w:type="dxa" w:w="2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r>
      <w:tr>
        <w:tc>
          <w:tcPr>
            <w:tcW w:type="dxa" w:w="3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経費回収率</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49.5%</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c>
          <w:tcPr>
            <w:tcW w:type="dxa" w:w="2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+4.9ポイント</w:t>
            </w:r>
          </w:p>
        </w:tc>
      </w:tr>
      <w:tr>
        <w:tc>
          <w:tcPr>
            <w:tcW w:type="dxa" w:w="3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経常収支比率</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89.0%</w:t>
            </w:r>
          </w:p>
        </w:tc>
        <w:tc>
          <w:tcPr>
            <w:tcW w:type="dxa" w:w="2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+1.5ポイント</w:t>
            </w:r>
          </w:p>
        </w:tc>
      </w:tr>
    </w:tbl>
    <w:p>
      <w:pPr>
        <w:spacing w:after="200" w:before="40"/>
      </w:pPr>
      <w:r>
        <w:rPr>
          <w:rFonts w:ascii="MS Pゴシック" w:cs="MS Pゴシック" w:eastAsia="MS Pゴシック" w:hAnsi="MS Pゴシック"/>
          <w:color w:val="5F6F74"/>
          <w:sz w:val="17"/>
          <w:szCs w:val="17"/>
        </w:rPr>
        <w:t xml:space="preserve">経費回収率＝使用料（税抜）÷汚水処理費。汚水処理費は令和7年度の49.5%から逆算した約81,993千円で据え置いた静態試算である。経常収支比率＝経常収益237,340千円÷経常費用271,139千円に増収分を加算。いずれも税抜で統一している。仮に使用料を税込のまま算定すると経費回収率は54.5%となり5.0ポイント過大となる。なお経営戦略の経費回収率目標（公共40%・漁集26%）は資本費を含む分母であり、分子も税込ベースで積算されているため、この値と直接比較してはなら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中心案の11〜50㎥（税抜190円）は、平均増収率が約10%になるよう令和7年度の利用分布から逆算したものである。毎月検針の大口利用者のデータが一部欠けているため、51㎥〜から得られる増収が過小に評価され、その不足分を11〜50㎥で余分に回収する設計になっている可能性がある。したがって、データ不足は増収額だけでなく料金単価そのものにも影響する。6〜10㎥の単価差を縮小するという政策方向は本資料で議論できるが、73円・190円・220円を最終料金表として確定するのは年間調定データの補完後とすべきである。</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主検針月6回調定（9,070件・42,987,132円）に基づく。通常の隔月検針者については概ね12か月相当だが、偶数月調定および毎月検針者の一部を含まない。年間全件（12か月・9,220件）で集計すると調定額は44,578,708円となり、これを基礎とした場合の平年度増収額は約4,427千円（税込）・約4,024千円（税抜）となる。また集計ブックの「〜2,216」行は1件あたり2,216円（上限額）で評価されているが、令和7年度3月分の調定明細で実額を確認したところ71件で64,144円（平均903円）であり、集計ブックの評価は過大である。いずれも改定率および税抜単価には影響しない。</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本資料の参考値は決算統計32表の汚水処理費（維持管理費の汚水分のみ）に対する使用料収入の比率である。経営戦略が用いる経費回収率は算定範囲が異なり、直接比較はできない。</w:t>
      </w:r>
    </w:p>
    <w:p>
      <w:pPr>
        <w:spacing w:after="40" w:before="120" w:line="300"/>
      </w:pPr>
      <w:r>
        <w:rPr>
          <w:rFonts w:ascii="MS Pゴシック" w:cs="MS Pゴシック" w:eastAsia="MS Pゴシック" w:hAnsi="MS Pゴシック"/>
          <w:b/>
          <w:bCs/>
          <w:color w:val="1A1A1A"/>
          <w:sz w:val="20"/>
          <w:szCs w:val="20"/>
        </w:rPr>
        <w:t xml:space="preserve">■ 令和8年度予算額の一次資料確認</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必ず税抜換算38,096千円を用いる。経営戦略の使用料収入も税込単価で積算されているため、税抜相当（現況継続R8 42,944千円・採用ケースR8 47,521千円）に読み替える必要がある。</w:t>
      </w:r>
    </w:p>
    <w:p>
      <w:pPr>
        <w:spacing w:after="40" w:before="120" w:line="300"/>
      </w:pPr>
      <w:r>
        <w:rPr>
          <w:rFonts w:ascii="MS Pゴシック" w:cs="MS Pゴシック" w:eastAsia="MS Pゴシック" w:hAnsi="MS Pゴシック"/>
          <w:b/>
          <w:bCs/>
          <w:color w:val="1A1A1A"/>
          <w:sz w:val="20"/>
          <w:szCs w:val="20"/>
        </w:rPr>
        <w:t xml:space="preserve">■ 経営戦略の目標値は税抜へ読み替える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とは連続しない。さらに分子の使用料収入も税込ベースで積算されている。目標水準を管理指標として使うには、分母の定義と分子の税区分の両方を揃え直す必要が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eeb1cadc177ca6bc5e61bd09fee459c8b7905f31.png"/><Relationship Id="rId11" Type="http://schemas.openxmlformats.org/officeDocument/2006/relationships/image" Target="media/e7e4ed396ac1144e49ac9128f0755c300aeaa914.png"/><Relationship Id="rId12" Type="http://schemas.openxmlformats.org/officeDocument/2006/relationships/image" Target="media/b568c25a07205c7107292efedb78dd37990a92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2026-09-15T00:34:48.988Z</dcterms:created>
  <dcterms:modified xsi:type="dcterms:W3CDTF">2026-09-15T00:34:48.988Z</dcterms:modified>
</cp:coreProperties>
</file>

<file path=docProps/custom.xml><?xml version="1.0" encoding="utf-8"?>
<Properties xmlns="http://schemas.openxmlformats.org/officeDocument/2006/custom-properties" xmlns:vt="http://schemas.openxmlformats.org/officeDocument/2006/docPropsVTypes"/>
</file>