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864301"/>
            <wp:docPr id="32" name="Picture 32"/>
            <wp:cNvGraphicFramePr>
              <a:graphicFrameLocks noChangeAspect="1"/>
            </wp:cNvGraphicFramePr>
            <a:graphic>
              <a:graphicData uri="http://schemas.openxmlformats.org/drawingml/2006/picture">
                <pic:pic>
                  <pic:nvPicPr>
                    <pic:cNvPr id="0" name="fig26_1_kofukin.png"/>
                    <pic:cNvPicPr/>
                  </pic:nvPicPr>
                  <pic:blipFill>
                    <a:blip r:embed="rId40"/>
                    <a:stretch>
                      <a:fillRect/>
                    </a:stretch>
                  </pic:blipFill>
                  <pic:spPr>
                    <a:xfrm>
                      <a:off x="0" y="0"/>
                      <a:ext cx="5976000" cy="3864301"/>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p>
      <w:pPr>
        <w:spacing w:after="80"/>
      </w:pPr>
      <w:r>
        <w:rPr>
          <w:rFonts w:ascii="游ゴシック" w:hAnsi="游ゴシック" w:eastAsia="游ゴシック"/>
          <w:b w:val="0"/>
          <w:sz w:val="20"/>
        </w:rPr>
        <w:t>交付金は市町村に交付されるため、評価は構成3町ごとに行われます。以下の「大雪」は3町の単純平均です。令和8年度の交付金は令和7年度に実施した取組を評価しています。</w:t>
      </w:r>
    </w:p>
    <w:p>
      <w:pPr>
        <w:spacing w:after="20"/>
        <w:jc w:val="right"/>
      </w:pPr>
      <w:r>
        <w:rPr>
          <w:rFonts w:ascii="游ゴシック" w:hAnsi="游ゴシック" w:eastAsia="游ゴシック"/>
          <w:b w:val="0"/>
          <w:sz w:val="17"/>
        </w:rPr>
        <w:t>単位：点（推進・支援それぞれ400点満点、合計800点満点）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年度</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対全国</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令和6年度</w:t>
            </w:r>
          </w:p>
        </w:tc>
        <w:tc>
          <w:tcPr>
            <w:tcW w:type="dxa" w:w="1247"/>
          </w:tcPr>
          <w:p>
            <w:r/>
            <w:r>
              <w:rPr>
                <w:rFonts w:ascii="游ゴシック" w:hAnsi="游ゴシック" w:eastAsia="游ゴシック"/>
                <w:sz w:val="17"/>
              </w:rPr>
              <w:t>164.7</w:t>
            </w:r>
          </w:p>
        </w:tc>
        <w:tc>
          <w:tcPr>
            <w:tcW w:type="dxa" w:w="1247"/>
          </w:tcPr>
          <w:p>
            <w:r/>
            <w:r>
              <w:rPr>
                <w:rFonts w:ascii="游ゴシック" w:hAnsi="游ゴシック" w:eastAsia="游ゴシック"/>
                <w:sz w:val="17"/>
              </w:rPr>
              <w:t>210.4</w:t>
            </w:r>
          </w:p>
        </w:tc>
        <w:tc>
          <w:tcPr>
            <w:tcW w:type="dxa" w:w="1247"/>
          </w:tcPr>
          <w:p>
            <w:r/>
            <w:r>
              <w:rPr>
                <w:rFonts w:ascii="游ゴシック" w:hAnsi="游ゴシック" w:eastAsia="游ゴシック"/>
                <w:sz w:val="17"/>
              </w:rPr>
              <w:t>205.7</w:t>
            </w:r>
          </w:p>
        </w:tc>
        <w:tc>
          <w:tcPr>
            <w:tcW w:type="dxa" w:w="1247"/>
          </w:tcPr>
          <w:p>
            <w:r/>
            <w:r>
              <w:rPr>
                <w:rFonts w:ascii="游ゴシック" w:hAnsi="游ゴシック" w:eastAsia="游ゴシック"/>
                <w:sz w:val="17"/>
              </w:rPr>
              <w:t>80.1％</w:t>
            </w:r>
          </w:p>
        </w:tc>
      </w:tr>
      <w:tr>
        <w:tc>
          <w:tcPr>
            <w:tcW w:type="dxa" w:w="3061"/>
          </w:tcPr>
          <w:p>
            <w:r/>
            <w:r>
              <w:rPr>
                <w:rFonts w:ascii="游ゴシック" w:hAnsi="游ゴシック" w:eastAsia="游ゴシック"/>
                <w:sz w:val="17"/>
              </w:rPr>
            </w:r>
          </w:p>
        </w:tc>
        <w:tc>
          <w:tcPr>
            <w:tcW w:type="dxa" w:w="1361"/>
          </w:tcPr>
          <w:p>
            <w:r/>
            <w:r>
              <w:rPr>
                <w:rFonts w:ascii="游ゴシック" w:hAnsi="游ゴシック" w:eastAsia="游ゴシック"/>
                <w:sz w:val="17"/>
              </w:rPr>
              <w:t>令和7年度</w:t>
            </w:r>
          </w:p>
        </w:tc>
        <w:tc>
          <w:tcPr>
            <w:tcW w:type="dxa" w:w="1247"/>
          </w:tcPr>
          <w:p>
            <w:r/>
            <w:r>
              <w:rPr>
                <w:rFonts w:ascii="游ゴシック" w:hAnsi="游ゴシック" w:eastAsia="游ゴシック"/>
                <w:sz w:val="17"/>
              </w:rPr>
              <w:t>173.7</w:t>
            </w:r>
          </w:p>
        </w:tc>
        <w:tc>
          <w:tcPr>
            <w:tcW w:type="dxa" w:w="1247"/>
          </w:tcPr>
          <w:p>
            <w:r/>
            <w:r>
              <w:rPr>
                <w:rFonts w:ascii="游ゴシック" w:hAnsi="游ゴシック" w:eastAsia="游ゴシック"/>
                <w:sz w:val="17"/>
              </w:rPr>
              <w:t>215.1</w:t>
            </w:r>
          </w:p>
        </w:tc>
        <w:tc>
          <w:tcPr>
            <w:tcW w:type="dxa" w:w="1247"/>
          </w:tcPr>
          <w:p>
            <w:r/>
            <w:r>
              <w:rPr>
                <w:rFonts w:ascii="游ゴシック" w:hAnsi="游ゴシック" w:eastAsia="游ゴシック"/>
                <w:sz w:val="17"/>
              </w:rPr>
              <w:t>219.3</w:t>
            </w:r>
          </w:p>
        </w:tc>
        <w:tc>
          <w:tcPr>
            <w:tcW w:type="dxa" w:w="1247"/>
          </w:tcPr>
          <w:p>
            <w:r/>
            <w:r>
              <w:rPr>
                <w:rFonts w:ascii="游ゴシック" w:hAnsi="游ゴシック" w:eastAsia="游ゴシック"/>
                <w:sz w:val="17"/>
              </w:rPr>
              <w:t>79.2％</w:t>
            </w:r>
          </w:p>
        </w:tc>
      </w:tr>
      <w:tr>
        <w:tc>
          <w:tcPr>
            <w:tcW w:type="dxa" w:w="3061"/>
          </w:tcPr>
          <w:p>
            <w:r/>
            <w:r>
              <w:rPr>
                <w:rFonts w:ascii="游ゴシック" w:hAnsi="游ゴシック" w:eastAsia="游ゴシック"/>
                <w:sz w:val="17"/>
              </w:rPr>
            </w:r>
          </w:p>
        </w:tc>
        <w:tc>
          <w:tcPr>
            <w:tcW w:type="dxa" w:w="1361"/>
          </w:tcPr>
          <w:p>
            <w:r/>
            <w:r>
              <w:rPr>
                <w:rFonts w:ascii="游ゴシック" w:hAnsi="游ゴシック" w:eastAsia="游ゴシック"/>
                <w:sz w:val="17"/>
              </w:rPr>
              <w:t>令和8年度</w:t>
            </w:r>
          </w:p>
        </w:tc>
        <w:tc>
          <w:tcPr>
            <w:tcW w:type="dxa" w:w="1247"/>
          </w:tcPr>
          <w:p>
            <w:r/>
            <w:r>
              <w:rPr>
                <w:rFonts w:ascii="游ゴシック" w:hAnsi="游ゴシック" w:eastAsia="游ゴシック"/>
                <w:sz w:val="17"/>
              </w:rPr>
              <w:t>172.7</w:t>
            </w:r>
          </w:p>
        </w:tc>
        <w:tc>
          <w:tcPr>
            <w:tcW w:type="dxa" w:w="1247"/>
          </w:tcPr>
          <w:p>
            <w:r/>
            <w:r>
              <w:rPr>
                <w:rFonts w:ascii="游ゴシック" w:hAnsi="游ゴシック" w:eastAsia="游ゴシック"/>
                <w:sz w:val="17"/>
              </w:rPr>
              <w:t>221.9</w:t>
            </w:r>
          </w:p>
        </w:tc>
        <w:tc>
          <w:tcPr>
            <w:tcW w:type="dxa" w:w="1247"/>
          </w:tcPr>
          <w:p>
            <w:r/>
            <w:r>
              <w:rPr>
                <w:rFonts w:ascii="游ゴシック" w:hAnsi="游ゴシック" w:eastAsia="游ゴシック"/>
                <w:sz w:val="17"/>
              </w:rPr>
              <w:t>230.0</w:t>
            </w:r>
          </w:p>
        </w:tc>
        <w:tc>
          <w:tcPr>
            <w:tcW w:type="dxa" w:w="1247"/>
          </w:tcPr>
          <w:p>
            <w:r/>
            <w:r>
              <w:rPr>
                <w:rFonts w:ascii="游ゴシック" w:hAnsi="游ゴシック" w:eastAsia="游ゴシック"/>
                <w:sz w:val="17"/>
              </w:rPr>
              <w:t>75.1％</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令和6年度</w:t>
            </w:r>
          </w:p>
        </w:tc>
        <w:tc>
          <w:tcPr>
            <w:tcW w:type="dxa" w:w="1247"/>
          </w:tcPr>
          <w:p>
            <w:r/>
            <w:r>
              <w:rPr>
                <w:rFonts w:ascii="游ゴシック" w:hAnsi="游ゴシック" w:eastAsia="游ゴシック"/>
                <w:sz w:val="17"/>
              </w:rPr>
              <w:t>167.3</w:t>
            </w:r>
          </w:p>
        </w:tc>
        <w:tc>
          <w:tcPr>
            <w:tcW w:type="dxa" w:w="1247"/>
          </w:tcPr>
          <w:p>
            <w:r/>
            <w:r>
              <w:rPr>
                <w:rFonts w:ascii="游ゴシック" w:hAnsi="游ゴシック" w:eastAsia="游ゴシック"/>
                <w:sz w:val="17"/>
              </w:rPr>
              <w:t>203.3</w:t>
            </w:r>
          </w:p>
        </w:tc>
        <w:tc>
          <w:tcPr>
            <w:tcW w:type="dxa" w:w="1247"/>
          </w:tcPr>
          <w:p>
            <w:r/>
            <w:r>
              <w:rPr>
                <w:rFonts w:ascii="游ゴシック" w:hAnsi="游ゴシック" w:eastAsia="游ゴシック"/>
                <w:sz w:val="17"/>
              </w:rPr>
              <w:t>216.7</w:t>
            </w:r>
          </w:p>
        </w:tc>
        <w:tc>
          <w:tcPr>
            <w:tcW w:type="dxa" w:w="1247"/>
          </w:tcPr>
          <w:p>
            <w:r/>
            <w:r>
              <w:rPr>
                <w:rFonts w:ascii="游ゴシック" w:hAnsi="游ゴシック" w:eastAsia="游ゴシック"/>
                <w:sz w:val="17"/>
              </w:rPr>
              <w:t>77.2％</w:t>
            </w:r>
          </w:p>
        </w:tc>
      </w:tr>
      <w:tr>
        <w:tc>
          <w:tcPr>
            <w:tcW w:type="dxa" w:w="3061"/>
          </w:tcPr>
          <w:p>
            <w:r/>
            <w:r>
              <w:rPr>
                <w:rFonts w:ascii="游ゴシック" w:hAnsi="游ゴシック" w:eastAsia="游ゴシック"/>
                <w:sz w:val="17"/>
              </w:rPr>
            </w:r>
          </w:p>
        </w:tc>
        <w:tc>
          <w:tcPr>
            <w:tcW w:type="dxa" w:w="1361"/>
          </w:tcPr>
          <w:p>
            <w:r/>
            <w:r>
              <w:rPr>
                <w:rFonts w:ascii="游ゴシック" w:hAnsi="游ゴシック" w:eastAsia="游ゴシック"/>
                <w:sz w:val="17"/>
              </w:rPr>
              <w:t>令和7年度</w:t>
            </w:r>
          </w:p>
        </w:tc>
        <w:tc>
          <w:tcPr>
            <w:tcW w:type="dxa" w:w="1247"/>
          </w:tcPr>
          <w:p>
            <w:r/>
            <w:r>
              <w:rPr>
                <w:rFonts w:ascii="游ゴシック" w:hAnsi="游ゴシック" w:eastAsia="游ゴシック"/>
                <w:sz w:val="17"/>
              </w:rPr>
              <w:t>161.7</w:t>
            </w:r>
          </w:p>
        </w:tc>
        <w:tc>
          <w:tcPr>
            <w:tcW w:type="dxa" w:w="1247"/>
          </w:tcPr>
          <w:p>
            <w:r/>
            <w:r>
              <w:rPr>
                <w:rFonts w:ascii="游ゴシック" w:hAnsi="游ゴシック" w:eastAsia="游ゴシック"/>
                <w:sz w:val="17"/>
              </w:rPr>
              <w:t>201.4</w:t>
            </w:r>
          </w:p>
        </w:tc>
        <w:tc>
          <w:tcPr>
            <w:tcW w:type="dxa" w:w="1247"/>
          </w:tcPr>
          <w:p>
            <w:r/>
            <w:r>
              <w:rPr>
                <w:rFonts w:ascii="游ゴシック" w:hAnsi="游ゴシック" w:eastAsia="游ゴシック"/>
                <w:sz w:val="17"/>
              </w:rPr>
              <w:t>215.8</w:t>
            </w:r>
          </w:p>
        </w:tc>
        <w:tc>
          <w:tcPr>
            <w:tcW w:type="dxa" w:w="1247"/>
          </w:tcPr>
          <w:p>
            <w:r/>
            <w:r>
              <w:rPr>
                <w:rFonts w:ascii="游ゴシック" w:hAnsi="游ゴシック" w:eastAsia="游ゴシック"/>
                <w:sz w:val="17"/>
              </w:rPr>
              <w:t>74.9％</w:t>
            </w:r>
          </w:p>
        </w:tc>
      </w:tr>
      <w:tr>
        <w:tc>
          <w:tcPr>
            <w:tcW w:type="dxa" w:w="3061"/>
          </w:tcPr>
          <w:p>
            <w:r/>
            <w:r>
              <w:rPr>
                <w:rFonts w:ascii="游ゴシック" w:hAnsi="游ゴシック" w:eastAsia="游ゴシック"/>
                <w:sz w:val="17"/>
              </w:rPr>
            </w:r>
          </w:p>
        </w:tc>
        <w:tc>
          <w:tcPr>
            <w:tcW w:type="dxa" w:w="1361"/>
          </w:tcPr>
          <w:p>
            <w:r/>
            <w:r>
              <w:rPr>
                <w:rFonts w:ascii="游ゴシック" w:hAnsi="游ゴシック" w:eastAsia="游ゴシック"/>
                <w:sz w:val="17"/>
              </w:rPr>
              <w:t>令和8年度</w:t>
            </w:r>
          </w:p>
        </w:tc>
        <w:tc>
          <w:tcPr>
            <w:tcW w:type="dxa" w:w="1247"/>
          </w:tcPr>
          <w:p>
            <w:r/>
            <w:r>
              <w:rPr>
                <w:rFonts w:ascii="游ゴシック" w:hAnsi="游ゴシック" w:eastAsia="游ゴシック"/>
                <w:sz w:val="17"/>
              </w:rPr>
              <w:t>161.3</w:t>
            </w:r>
          </w:p>
        </w:tc>
        <w:tc>
          <w:tcPr>
            <w:tcW w:type="dxa" w:w="1247"/>
          </w:tcPr>
          <w:p>
            <w:r/>
            <w:r>
              <w:rPr>
                <w:rFonts w:ascii="游ゴシック" w:hAnsi="游ゴシック" w:eastAsia="游ゴシック"/>
                <w:sz w:val="17"/>
              </w:rPr>
              <w:t>210.7</w:t>
            </w:r>
          </w:p>
        </w:tc>
        <w:tc>
          <w:tcPr>
            <w:tcW w:type="dxa" w:w="1247"/>
          </w:tcPr>
          <w:p>
            <w:r/>
            <w:r>
              <w:rPr>
                <w:rFonts w:ascii="游ゴシック" w:hAnsi="游ゴシック" w:eastAsia="游ゴシック"/>
                <w:sz w:val="17"/>
              </w:rPr>
              <w:t>224.9</w:t>
            </w:r>
          </w:p>
        </w:tc>
        <w:tc>
          <w:tcPr>
            <w:tcW w:type="dxa" w:w="1247"/>
          </w:tcPr>
          <w:p>
            <w:r/>
            <w:r>
              <w:rPr>
                <w:rFonts w:ascii="游ゴシック" w:hAnsi="游ゴシック" w:eastAsia="游ゴシック"/>
                <w:sz w:val="17"/>
              </w:rPr>
              <w:t>71.7％</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令和6年度</w:t>
            </w:r>
          </w:p>
        </w:tc>
        <w:tc>
          <w:tcPr>
            <w:tcW w:type="dxa" w:w="1247"/>
          </w:tcPr>
          <w:p>
            <w:r/>
            <w:r>
              <w:rPr>
                <w:rFonts w:ascii="游ゴシック" w:hAnsi="游ゴシック" w:eastAsia="游ゴシック"/>
                <w:sz w:val="17"/>
              </w:rPr>
              <w:t>332.0</w:t>
            </w:r>
          </w:p>
        </w:tc>
        <w:tc>
          <w:tcPr>
            <w:tcW w:type="dxa" w:w="1247"/>
          </w:tcPr>
          <w:p>
            <w:r/>
            <w:r>
              <w:rPr>
                <w:rFonts w:ascii="游ゴシック" w:hAnsi="游ゴシック" w:eastAsia="游ゴシック"/>
                <w:sz w:val="17"/>
              </w:rPr>
              <w:t>413.6</w:t>
            </w:r>
          </w:p>
        </w:tc>
        <w:tc>
          <w:tcPr>
            <w:tcW w:type="dxa" w:w="1247"/>
          </w:tcPr>
          <w:p>
            <w:r/>
            <w:r>
              <w:rPr>
                <w:rFonts w:ascii="游ゴシック" w:hAnsi="游ゴシック" w:eastAsia="游ゴシック"/>
                <w:sz w:val="17"/>
              </w:rPr>
              <w:t>422.4</w:t>
            </w:r>
          </w:p>
        </w:tc>
        <w:tc>
          <w:tcPr>
            <w:tcW w:type="dxa" w:w="1247"/>
          </w:tcPr>
          <w:p>
            <w:r/>
            <w:r>
              <w:rPr>
                <w:rFonts w:ascii="游ゴシック" w:hAnsi="游ゴシック" w:eastAsia="游ゴシック"/>
                <w:sz w:val="17"/>
              </w:rPr>
              <w:t>78.6％</w:t>
            </w:r>
          </w:p>
        </w:tc>
      </w:tr>
      <w:tr>
        <w:tc>
          <w:tcPr>
            <w:tcW w:type="dxa" w:w="3061"/>
          </w:tcPr>
          <w:p>
            <w:r/>
            <w:r>
              <w:rPr>
                <w:rFonts w:ascii="游ゴシック" w:hAnsi="游ゴシック" w:eastAsia="游ゴシック"/>
                <w:sz w:val="17"/>
              </w:rPr>
            </w:r>
          </w:p>
        </w:tc>
        <w:tc>
          <w:tcPr>
            <w:tcW w:type="dxa" w:w="1361"/>
          </w:tcPr>
          <w:p>
            <w:r/>
            <w:r>
              <w:rPr>
                <w:rFonts w:ascii="游ゴシック" w:hAnsi="游ゴシック" w:eastAsia="游ゴシック"/>
                <w:sz w:val="17"/>
              </w:rPr>
              <w:t>令和7年度</w:t>
            </w:r>
          </w:p>
        </w:tc>
        <w:tc>
          <w:tcPr>
            <w:tcW w:type="dxa" w:w="1247"/>
          </w:tcPr>
          <w:p>
            <w:r/>
            <w:r>
              <w:rPr>
                <w:rFonts w:ascii="游ゴシック" w:hAnsi="游ゴシック" w:eastAsia="游ゴシック"/>
                <w:sz w:val="17"/>
              </w:rPr>
              <w:t>335.3</w:t>
            </w:r>
          </w:p>
        </w:tc>
        <w:tc>
          <w:tcPr>
            <w:tcW w:type="dxa" w:w="1247"/>
          </w:tcPr>
          <w:p>
            <w:r/>
            <w:r>
              <w:rPr>
                <w:rFonts w:ascii="游ゴシック" w:hAnsi="游ゴシック" w:eastAsia="游ゴシック"/>
                <w:sz w:val="17"/>
              </w:rPr>
              <w:t>416.5</w:t>
            </w:r>
          </w:p>
        </w:tc>
        <w:tc>
          <w:tcPr>
            <w:tcW w:type="dxa" w:w="1247"/>
          </w:tcPr>
          <w:p>
            <w:r/>
            <w:r>
              <w:rPr>
                <w:rFonts w:ascii="游ゴシック" w:hAnsi="游ゴシック" w:eastAsia="游ゴシック"/>
                <w:sz w:val="17"/>
              </w:rPr>
              <w:t>435.0</w:t>
            </w:r>
          </w:p>
        </w:tc>
        <w:tc>
          <w:tcPr>
            <w:tcW w:type="dxa" w:w="1247"/>
          </w:tcPr>
          <w:p>
            <w:r/>
            <w:r>
              <w:rPr>
                <w:rFonts w:ascii="游ゴシック" w:hAnsi="游ゴシック" w:eastAsia="游ゴシック"/>
                <w:sz w:val="17"/>
              </w:rPr>
              <w:t>77.1％</w:t>
            </w:r>
          </w:p>
        </w:tc>
      </w:tr>
      <w:tr>
        <w:tc>
          <w:tcPr>
            <w:tcW w:type="dxa" w:w="3061"/>
          </w:tcPr>
          <w:p>
            <w:r/>
            <w:r>
              <w:rPr>
                <w:rFonts w:ascii="游ゴシック" w:hAnsi="游ゴシック" w:eastAsia="游ゴシック"/>
                <w:sz w:val="17"/>
              </w:rPr>
            </w:r>
          </w:p>
        </w:tc>
        <w:tc>
          <w:tcPr>
            <w:tcW w:type="dxa" w:w="1361"/>
          </w:tcPr>
          <w:p>
            <w:r/>
            <w:r>
              <w:rPr>
                <w:rFonts w:ascii="游ゴシック" w:hAnsi="游ゴシック" w:eastAsia="游ゴシック"/>
                <w:sz w:val="17"/>
              </w:rPr>
              <w:t>令和8年度</w:t>
            </w:r>
          </w:p>
        </w:tc>
        <w:tc>
          <w:tcPr>
            <w:tcW w:type="dxa" w:w="1247"/>
          </w:tcPr>
          <w:p>
            <w:r/>
            <w:r>
              <w:rPr>
                <w:rFonts w:ascii="游ゴシック" w:hAnsi="游ゴシック" w:eastAsia="游ゴシック"/>
                <w:sz w:val="17"/>
              </w:rPr>
              <w:t>334.0</w:t>
            </w:r>
          </w:p>
        </w:tc>
        <w:tc>
          <w:tcPr>
            <w:tcW w:type="dxa" w:w="1247"/>
          </w:tcPr>
          <w:p>
            <w:r/>
            <w:r>
              <w:rPr>
                <w:rFonts w:ascii="游ゴシック" w:hAnsi="游ゴシック" w:eastAsia="游ゴシック"/>
                <w:sz w:val="17"/>
              </w:rPr>
              <w:t>432.6</w:t>
            </w:r>
          </w:p>
        </w:tc>
        <w:tc>
          <w:tcPr>
            <w:tcW w:type="dxa" w:w="1247"/>
          </w:tcPr>
          <w:p>
            <w:r/>
            <w:r>
              <w:rPr>
                <w:rFonts w:ascii="游ゴシック" w:hAnsi="游ゴシック" w:eastAsia="游ゴシック"/>
                <w:sz w:val="17"/>
              </w:rPr>
              <w:t>454.9</w:t>
            </w:r>
          </w:p>
        </w:tc>
        <w:tc>
          <w:tcPr>
            <w:tcW w:type="dxa" w:w="1247"/>
          </w:tcPr>
          <w:p>
            <w:r/>
            <w:r>
              <w:rPr>
                <w:rFonts w:ascii="游ゴシック" w:hAnsi="游ゴシック" w:eastAsia="游ゴシック"/>
                <w:sz w:val="17"/>
              </w:rPr>
              <w:t>73.4％</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資料：厚生労働省「保険者機能強化推進交付金及び介護保険保険者努力支援交付金（市町村分）に係る全国集計結果」令和6〜8年度。全国は1,745〜1,746市町村、北海道は179市町村の平均</w:t>
      </w:r>
    </w:p>
    <w:p>
      <w:pPr>
        <w:spacing w:after="80"/>
      </w:pPr>
      <w:r>
        <w:rPr>
          <w:rFonts w:ascii="游ゴシック" w:hAnsi="游ゴシック" w:eastAsia="游ゴシック"/>
          <w:b w:val="0"/>
          <w:sz w:val="21"/>
        </w:rPr>
        <w:t>全国平均は3年で32.5点（422.4点→454.9点）上がりましたが、3町平均は2.0点（332.0点→334.0点）の変化にとどまります。対全国比は78.6％から73.4％へ低下しています。取組が後退したのではなく、全国が上がる速さに追いついていない構造です。</w:t>
      </w:r>
    </w:p>
    <w:p>
      <w:pPr>
        <w:spacing w:after="80"/>
      </w:pPr>
      <w:r>
        <w:rPr>
          <w:rFonts w:ascii="游ゴシック" w:hAnsi="游ゴシック" w:eastAsia="游ゴシック"/>
          <w:b w:val="0"/>
          <w:sz w:val="20"/>
        </w:rPr>
        <w:t>推進・支援合計の全国順位を下位から数えた位置でみると、東川町は令和6年度15.0％から令和8年度6.7％へ、美瑛町は14.3％から6.0％へ、東神楽町は28.3％から20.5％へ下がっています。令和8年度は東川町・美瑛町が全国の下位1割以内で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3" name="Picture 33"/>
            <wp:cNvGraphicFramePr>
              <a:graphicFrameLocks noChangeAspect="1"/>
            </wp:cNvGraphicFramePr>
            <a:graphic>
              <a:graphicData uri="http://schemas.openxmlformats.org/drawingml/2006/picture">
                <pic:pic>
                  <pic:nvPicPr>
                    <pic:cNvPr id="0" name="fig26_2_shihyogun.png"/>
                    <pic:cNvPicPr/>
                  </pic:nvPicPr>
                  <pic:blipFill>
                    <a:blip r:embed="rId41"/>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spacing w:after="20"/>
        <w:jc w:val="right"/>
      </w:pPr>
      <w:r>
        <w:rPr>
          <w:rFonts w:ascii="游ゴシック" w:hAnsi="游ゴシック" w:eastAsia="游ゴシック"/>
          <w:b w:val="0"/>
          <w:sz w:val="17"/>
        </w:rPr>
        <w:t>令和8年度。単位：点</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81"/>
          </w:tcPr>
          <w:p>
            <w:r/>
            <w:r>
              <w:rPr>
                <w:rFonts w:ascii="游ゴシック" w:hAnsi="游ゴシック" w:eastAsia="游ゴシック"/>
                <w:b/>
                <w:sz w:val="17"/>
              </w:rPr>
              <w:t>交付金・指標群</w:t>
            </w:r>
          </w:p>
        </w:tc>
        <w:tc>
          <w:tcPr>
            <w:tcW w:type="dxa" w:w="907"/>
          </w:tcPr>
          <w:p>
            <w:r/>
            <w:r>
              <w:rPr>
                <w:rFonts w:ascii="游ゴシック" w:hAnsi="游ゴシック" w:eastAsia="游ゴシック"/>
                <w:b/>
                <w:sz w:val="17"/>
              </w:rPr>
              <w:t>満点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1134"/>
          </w:tcPr>
          <w:p>
            <w:r/>
            <w:r>
              <w:rPr>
                <w:rFonts w:ascii="游ゴシック" w:hAnsi="游ゴシック" w:eastAsia="游ゴシック"/>
                <w:b/>
                <w:sz w:val="17"/>
              </w:rPr>
              <w:t>達成度</w:t>
            </w:r>
          </w:p>
        </w:tc>
      </w:tr>
      <w:tr>
        <w:tc>
          <w:tcPr>
            <w:tcW w:type="dxa" w:w="2381"/>
          </w:tcPr>
          <w:p>
            <w:r/>
            <w:r>
              <w:rPr>
                <w:rFonts w:ascii="游ゴシック" w:hAnsi="游ゴシック" w:eastAsia="游ゴシック"/>
                <w:sz w:val="17"/>
              </w:rPr>
              <w:t>推進　体制・取組指標群</w:t>
            </w:r>
          </w:p>
        </w:tc>
        <w:tc>
          <w:tcPr>
            <w:tcW w:type="dxa" w:w="907"/>
          </w:tcPr>
          <w:p>
            <w:r/>
            <w:r>
              <w:rPr>
                <w:rFonts w:ascii="游ゴシック" w:hAnsi="游ゴシック" w:eastAsia="游ゴシック"/>
                <w:sz w:val="17"/>
              </w:rPr>
              <w:t>196</w:t>
            </w:r>
          </w:p>
        </w:tc>
        <w:tc>
          <w:tcPr>
            <w:tcW w:type="dxa" w:w="1134"/>
          </w:tcPr>
          <w:p>
            <w:r/>
            <w:r>
              <w:rPr>
                <w:rFonts w:ascii="游ゴシック" w:hAnsi="游ゴシック" w:eastAsia="游ゴシック"/>
                <w:sz w:val="17"/>
              </w:rPr>
              <w:t>94.7</w:t>
            </w:r>
          </w:p>
        </w:tc>
        <w:tc>
          <w:tcPr>
            <w:tcW w:type="dxa" w:w="1134"/>
          </w:tcPr>
          <w:p>
            <w:r/>
            <w:r>
              <w:rPr>
                <w:rFonts w:ascii="游ゴシック" w:hAnsi="游ゴシック" w:eastAsia="游ゴシック"/>
                <w:sz w:val="17"/>
              </w:rPr>
              <w:t>134.5</w:t>
            </w:r>
          </w:p>
        </w:tc>
        <w:tc>
          <w:tcPr>
            <w:tcW w:type="dxa" w:w="1134"/>
          </w:tcPr>
          <w:p>
            <w:r/>
            <w:r>
              <w:rPr>
                <w:rFonts w:ascii="游ゴシック" w:hAnsi="游ゴシック" w:eastAsia="游ゴシック"/>
                <w:sz w:val="17"/>
              </w:rPr>
              <w:t>145.5</w:t>
            </w:r>
          </w:p>
        </w:tc>
        <w:tc>
          <w:tcPr>
            <w:tcW w:type="dxa" w:w="1134"/>
          </w:tcPr>
          <w:p>
            <w:r/>
            <w:r>
              <w:rPr>
                <w:rFonts w:ascii="游ゴシック" w:hAnsi="游ゴシック" w:eastAsia="游ゴシック"/>
                <w:sz w:val="17"/>
              </w:rPr>
              <w:t>65.1％</w:t>
            </w:r>
          </w:p>
        </w:tc>
        <w:tc>
          <w:tcPr>
            <w:tcW w:type="dxa" w:w="1134"/>
          </w:tcPr>
          <w:p>
            <w:r/>
            <w:r>
              <w:rPr>
                <w:rFonts w:ascii="游ゴシック" w:hAnsi="游ゴシック" w:eastAsia="游ゴシック"/>
                <w:sz w:val="17"/>
              </w:rPr>
              <w:t>48.3％</w:t>
            </w:r>
          </w:p>
        </w:tc>
      </w:tr>
      <w:tr>
        <w:tc>
          <w:tcPr>
            <w:tcW w:type="dxa" w:w="2381"/>
          </w:tcPr>
          <w:p>
            <w:r/>
            <w:r>
              <w:rPr>
                <w:rFonts w:ascii="游ゴシック" w:hAnsi="游ゴシック" w:eastAsia="游ゴシック"/>
                <w:sz w:val="17"/>
              </w:rPr>
              <w:t>推進　活動指標群</w:t>
            </w:r>
          </w:p>
        </w:tc>
        <w:tc>
          <w:tcPr>
            <w:tcW w:type="dxa" w:w="907"/>
          </w:tcPr>
          <w:p>
            <w:r/>
            <w:r>
              <w:rPr>
                <w:rFonts w:ascii="游ゴシック" w:hAnsi="游ゴシック" w:eastAsia="游ゴシック"/>
                <w:sz w:val="17"/>
              </w:rPr>
              <w:t>104</w:t>
            </w:r>
          </w:p>
        </w:tc>
        <w:tc>
          <w:tcPr>
            <w:tcW w:type="dxa" w:w="1134"/>
          </w:tcPr>
          <w:p>
            <w:r/>
            <w:r>
              <w:rPr>
                <w:rFonts w:ascii="游ゴシック" w:hAnsi="游ゴシック" w:eastAsia="游ゴシック"/>
                <w:sz w:val="17"/>
              </w:rPr>
              <w:t>23.0</w:t>
            </w:r>
          </w:p>
        </w:tc>
        <w:tc>
          <w:tcPr>
            <w:tcW w:type="dxa" w:w="1134"/>
          </w:tcPr>
          <w:p>
            <w:r/>
            <w:r>
              <w:rPr>
                <w:rFonts w:ascii="游ゴシック" w:hAnsi="游ゴシック" w:eastAsia="游ゴシック"/>
                <w:sz w:val="17"/>
              </w:rPr>
              <w:t>32.9</w:t>
            </w:r>
          </w:p>
        </w:tc>
        <w:tc>
          <w:tcPr>
            <w:tcW w:type="dxa" w:w="1134"/>
          </w:tcPr>
          <w:p>
            <w:r/>
            <w:r>
              <w:rPr>
                <w:rFonts w:ascii="游ゴシック" w:hAnsi="游ゴシック" w:eastAsia="游ゴシック"/>
                <w:sz w:val="17"/>
              </w:rPr>
              <w:t>36.9</w:t>
            </w:r>
          </w:p>
        </w:tc>
        <w:tc>
          <w:tcPr>
            <w:tcW w:type="dxa" w:w="1134"/>
          </w:tcPr>
          <w:p>
            <w:r/>
            <w:r>
              <w:rPr>
                <w:rFonts w:ascii="游ゴシック" w:hAnsi="游ゴシック" w:eastAsia="游ゴシック"/>
                <w:sz w:val="17"/>
              </w:rPr>
              <w:t>62.3％</w:t>
            </w:r>
          </w:p>
        </w:tc>
        <w:tc>
          <w:tcPr>
            <w:tcW w:type="dxa" w:w="1134"/>
          </w:tcPr>
          <w:p>
            <w:r/>
            <w:r>
              <w:rPr>
                <w:rFonts w:ascii="游ゴシック" w:hAnsi="游ゴシック" w:eastAsia="游ゴシック"/>
                <w:sz w:val="17"/>
              </w:rPr>
              <w:t>22.1％</w:t>
            </w:r>
          </w:p>
        </w:tc>
      </w:tr>
      <w:tr>
        <w:tc>
          <w:tcPr>
            <w:tcW w:type="dxa" w:w="2381"/>
          </w:tcPr>
          <w:p>
            <w:r/>
            <w:r>
              <w:rPr>
                <w:rFonts w:ascii="游ゴシック" w:hAnsi="游ゴシック" w:eastAsia="游ゴシック"/>
                <w:sz w:val="17"/>
              </w:rPr>
              <w:t>推進　成果指標群</w:t>
            </w:r>
          </w:p>
        </w:tc>
        <w:tc>
          <w:tcPr>
            <w:tcW w:type="dxa" w:w="907"/>
          </w:tcPr>
          <w:p>
            <w:r/>
            <w:r>
              <w:rPr>
                <w:rFonts w:ascii="游ゴシック" w:hAnsi="游ゴシック" w:eastAsia="游ゴシック"/>
                <w:sz w:val="17"/>
              </w:rPr>
              <w:t>100</w:t>
            </w:r>
          </w:p>
        </w:tc>
        <w:tc>
          <w:tcPr>
            <w:tcW w:type="dxa" w:w="1134"/>
          </w:tcPr>
          <w:p>
            <w:r/>
            <w:r>
              <w:rPr>
                <w:rFonts w:ascii="游ゴシック" w:hAnsi="游ゴシック" w:eastAsia="游ゴシック"/>
                <w:sz w:val="17"/>
              </w:rPr>
              <w:t>55.0</w:t>
            </w:r>
          </w:p>
        </w:tc>
        <w:tc>
          <w:tcPr>
            <w:tcW w:type="dxa" w:w="1134"/>
          </w:tcPr>
          <w:p>
            <w:r/>
            <w:r>
              <w:rPr>
                <w:rFonts w:ascii="游ゴシック" w:hAnsi="游ゴシック" w:eastAsia="游ゴシック"/>
                <w:sz w:val="17"/>
              </w:rPr>
              <w:t>54.4</w:t>
            </w:r>
          </w:p>
        </w:tc>
        <w:tc>
          <w:tcPr>
            <w:tcW w:type="dxa" w:w="1134"/>
          </w:tcPr>
          <w:p>
            <w:r/>
            <w:r>
              <w:rPr>
                <w:rFonts w:ascii="游ゴシック" w:hAnsi="游ゴシック" w:eastAsia="游ゴシック"/>
                <w:sz w:val="17"/>
              </w:rPr>
              <w:t>47.7</w:t>
            </w:r>
          </w:p>
        </w:tc>
        <w:tc>
          <w:tcPr>
            <w:tcW w:type="dxa" w:w="1134"/>
          </w:tcPr>
          <w:p>
            <w:r/>
            <w:r>
              <w:rPr>
                <w:rFonts w:ascii="游ゴシック" w:hAnsi="游ゴシック" w:eastAsia="游ゴシック"/>
                <w:sz w:val="17"/>
              </w:rPr>
              <w:t>115.3％</w:t>
            </w:r>
          </w:p>
        </w:tc>
        <w:tc>
          <w:tcPr>
            <w:tcW w:type="dxa" w:w="1134"/>
          </w:tcPr>
          <w:p>
            <w:r/>
            <w:r>
              <w:rPr>
                <w:rFonts w:ascii="游ゴシック" w:hAnsi="游ゴシック" w:eastAsia="游ゴシック"/>
                <w:sz w:val="17"/>
              </w:rPr>
              <w:t>55.0％</w:t>
            </w:r>
          </w:p>
        </w:tc>
      </w:tr>
      <w:tr>
        <w:tc>
          <w:tcPr>
            <w:tcW w:type="dxa" w:w="2381"/>
          </w:tcPr>
          <w:p>
            <w:r/>
            <w:r>
              <w:rPr>
                <w:rFonts w:ascii="游ゴシック" w:hAnsi="游ゴシック" w:eastAsia="游ゴシック"/>
                <w:sz w:val="17"/>
              </w:rPr>
              <w:t>支援　体制・取組指標群</w:t>
            </w:r>
          </w:p>
        </w:tc>
        <w:tc>
          <w:tcPr>
            <w:tcW w:type="dxa" w:w="907"/>
          </w:tcPr>
          <w:p>
            <w:r/>
            <w:r>
              <w:rPr>
                <w:rFonts w:ascii="游ゴシック" w:hAnsi="游ゴシック" w:eastAsia="游ゴシック"/>
                <w:sz w:val="17"/>
              </w:rPr>
              <w:t>184</w:t>
            </w:r>
          </w:p>
        </w:tc>
        <w:tc>
          <w:tcPr>
            <w:tcW w:type="dxa" w:w="1134"/>
          </w:tcPr>
          <w:p>
            <w:r/>
            <w:r>
              <w:rPr>
                <w:rFonts w:ascii="游ゴシック" w:hAnsi="游ゴシック" w:eastAsia="游ゴシック"/>
                <w:sz w:val="17"/>
              </w:rPr>
              <w:t>71.7</w:t>
            </w:r>
          </w:p>
        </w:tc>
        <w:tc>
          <w:tcPr>
            <w:tcW w:type="dxa" w:w="1134"/>
          </w:tcPr>
          <w:p>
            <w:r/>
            <w:r>
              <w:rPr>
                <w:rFonts w:ascii="游ゴシック" w:hAnsi="游ゴシック" w:eastAsia="游ゴシック"/>
                <w:sz w:val="17"/>
              </w:rPr>
              <w:t>116.7</w:t>
            </w:r>
          </w:p>
        </w:tc>
        <w:tc>
          <w:tcPr>
            <w:tcW w:type="dxa" w:w="1134"/>
          </w:tcPr>
          <w:p>
            <w:r/>
            <w:r>
              <w:rPr>
                <w:rFonts w:ascii="游ゴシック" w:hAnsi="游ゴシック" w:eastAsia="游ゴシック"/>
                <w:sz w:val="17"/>
              </w:rPr>
              <w:t>130.7</w:t>
            </w:r>
          </w:p>
        </w:tc>
        <w:tc>
          <w:tcPr>
            <w:tcW w:type="dxa" w:w="1134"/>
          </w:tcPr>
          <w:p>
            <w:r/>
            <w:r>
              <w:rPr>
                <w:rFonts w:ascii="游ゴシック" w:hAnsi="游ゴシック" w:eastAsia="游ゴシック"/>
                <w:sz w:val="17"/>
              </w:rPr>
              <w:t>54.8％</w:t>
            </w:r>
          </w:p>
        </w:tc>
        <w:tc>
          <w:tcPr>
            <w:tcW w:type="dxa" w:w="1134"/>
          </w:tcPr>
          <w:p>
            <w:r/>
            <w:r>
              <w:rPr>
                <w:rFonts w:ascii="游ゴシック" w:hAnsi="游ゴシック" w:eastAsia="游ゴシック"/>
                <w:sz w:val="17"/>
              </w:rPr>
              <w:t>39.0％</w:t>
            </w:r>
          </w:p>
        </w:tc>
      </w:tr>
      <w:tr>
        <w:tc>
          <w:tcPr>
            <w:tcW w:type="dxa" w:w="2381"/>
          </w:tcPr>
          <w:p>
            <w:r/>
            <w:r>
              <w:rPr>
                <w:rFonts w:ascii="游ゴシック" w:hAnsi="游ゴシック" w:eastAsia="游ゴシック"/>
                <w:sz w:val="17"/>
              </w:rPr>
              <w:t>支援　活動指標群</w:t>
            </w:r>
          </w:p>
        </w:tc>
        <w:tc>
          <w:tcPr>
            <w:tcW w:type="dxa" w:w="907"/>
          </w:tcPr>
          <w:p>
            <w:r/>
            <w:r>
              <w:rPr>
                <w:rFonts w:ascii="游ゴシック" w:hAnsi="游ゴシック" w:eastAsia="游ゴシック"/>
                <w:sz w:val="17"/>
              </w:rPr>
              <w:t>116</w:t>
            </w:r>
          </w:p>
        </w:tc>
        <w:tc>
          <w:tcPr>
            <w:tcW w:type="dxa" w:w="1134"/>
          </w:tcPr>
          <w:p>
            <w:r/>
            <w:r>
              <w:rPr>
                <w:rFonts w:ascii="游ゴシック" w:hAnsi="游ゴシック" w:eastAsia="游ゴシック"/>
                <w:sz w:val="17"/>
              </w:rPr>
              <w:t>34.7</w:t>
            </w:r>
          </w:p>
        </w:tc>
        <w:tc>
          <w:tcPr>
            <w:tcW w:type="dxa" w:w="1134"/>
          </w:tcPr>
          <w:p>
            <w:r/>
            <w:r>
              <w:rPr>
                <w:rFonts w:ascii="游ゴシック" w:hAnsi="游ゴシック" w:eastAsia="游ゴシック"/>
                <w:sz w:val="17"/>
              </w:rPr>
              <w:t>39.4</w:t>
            </w:r>
          </w:p>
        </w:tc>
        <w:tc>
          <w:tcPr>
            <w:tcW w:type="dxa" w:w="1134"/>
          </w:tcPr>
          <w:p>
            <w:r/>
            <w:r>
              <w:rPr>
                <w:rFonts w:ascii="游ゴシック" w:hAnsi="游ゴシック" w:eastAsia="游ゴシック"/>
                <w:sz w:val="17"/>
              </w:rPr>
              <w:t>46.5</w:t>
            </w:r>
          </w:p>
        </w:tc>
        <w:tc>
          <w:tcPr>
            <w:tcW w:type="dxa" w:w="1134"/>
          </w:tcPr>
          <w:p>
            <w:r/>
            <w:r>
              <w:rPr>
                <w:rFonts w:ascii="游ゴシック" w:hAnsi="游ゴシック" w:eastAsia="游ゴシック"/>
                <w:sz w:val="17"/>
              </w:rPr>
              <w:t>74.6％</w:t>
            </w:r>
          </w:p>
        </w:tc>
        <w:tc>
          <w:tcPr>
            <w:tcW w:type="dxa" w:w="1134"/>
          </w:tcPr>
          <w:p>
            <w:r/>
            <w:r>
              <w:rPr>
                <w:rFonts w:ascii="游ゴシック" w:hAnsi="游ゴシック" w:eastAsia="游ゴシック"/>
                <w:sz w:val="17"/>
              </w:rPr>
              <w:t>29.9％</w:t>
            </w:r>
          </w:p>
        </w:tc>
      </w:tr>
      <w:tr>
        <w:tc>
          <w:tcPr>
            <w:tcW w:type="dxa" w:w="2381"/>
          </w:tcPr>
          <w:p>
            <w:r/>
            <w:r>
              <w:rPr>
                <w:rFonts w:ascii="游ゴシック" w:hAnsi="游ゴシック" w:eastAsia="游ゴシック"/>
                <w:sz w:val="17"/>
              </w:rPr>
              <w:t>支援　成果指標群</w:t>
            </w:r>
          </w:p>
        </w:tc>
        <w:tc>
          <w:tcPr>
            <w:tcW w:type="dxa" w:w="907"/>
          </w:tcPr>
          <w:p>
            <w:r/>
            <w:r>
              <w:rPr>
                <w:rFonts w:ascii="游ゴシック" w:hAnsi="游ゴシック" w:eastAsia="游ゴシック"/>
                <w:sz w:val="17"/>
              </w:rPr>
              <w:t>100</w:t>
            </w:r>
          </w:p>
        </w:tc>
        <w:tc>
          <w:tcPr>
            <w:tcW w:type="dxa" w:w="1134"/>
          </w:tcPr>
          <w:p>
            <w:r/>
            <w:r>
              <w:rPr>
                <w:rFonts w:ascii="游ゴシック" w:hAnsi="游ゴシック" w:eastAsia="游ゴシック"/>
                <w:sz w:val="17"/>
              </w:rPr>
              <w:t>55.0</w:t>
            </w:r>
          </w:p>
        </w:tc>
        <w:tc>
          <w:tcPr>
            <w:tcW w:type="dxa" w:w="1134"/>
          </w:tcPr>
          <w:p>
            <w:r/>
            <w:r>
              <w:rPr>
                <w:rFonts w:ascii="游ゴシック" w:hAnsi="游ゴシック" w:eastAsia="游ゴシック"/>
                <w:sz w:val="17"/>
              </w:rPr>
              <w:t>54.4</w:t>
            </w:r>
          </w:p>
        </w:tc>
        <w:tc>
          <w:tcPr>
            <w:tcW w:type="dxa" w:w="1134"/>
          </w:tcPr>
          <w:p>
            <w:r/>
            <w:r>
              <w:rPr>
                <w:rFonts w:ascii="游ゴシック" w:hAnsi="游ゴシック" w:eastAsia="游ゴシック"/>
                <w:sz w:val="17"/>
              </w:rPr>
              <w:t>47.7</w:t>
            </w:r>
          </w:p>
        </w:tc>
        <w:tc>
          <w:tcPr>
            <w:tcW w:type="dxa" w:w="1134"/>
          </w:tcPr>
          <w:p>
            <w:r/>
            <w:r>
              <w:rPr>
                <w:rFonts w:ascii="游ゴシック" w:hAnsi="游ゴシック" w:eastAsia="游ゴシック"/>
                <w:sz w:val="17"/>
              </w:rPr>
              <w:t>115.3％</w:t>
            </w:r>
          </w:p>
        </w:tc>
        <w:tc>
          <w:tcPr>
            <w:tcW w:type="dxa" w:w="1134"/>
          </w:tcPr>
          <w:p>
            <w:r/>
            <w:r>
              <w:rPr>
                <w:rFonts w:ascii="游ゴシック" w:hAnsi="游ゴシック" w:eastAsia="游ゴシック"/>
                <w:sz w:val="17"/>
              </w:rPr>
              <w:t>55.0％</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8年度及び「令和8年度保険者機能強化推進交付金及び介護保険保険者努力支援交付金に係る評価指標（市町村分）」</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115.3％と高い一方、体制・取組と活動は全国の54.8〜74.6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4" name="Picture 34"/>
            <wp:cNvGraphicFramePr>
              <a:graphicFrameLocks noChangeAspect="1"/>
            </wp:cNvGraphicFramePr>
            <a:graphic>
              <a:graphicData uri="http://schemas.openxmlformats.org/drawingml/2006/picture">
                <pic:pic>
                  <pic:nvPicPr>
                    <pic:cNvPr id="0" name="fig26_3_mokuhyo.png"/>
                    <pic:cNvPicPr/>
                  </pic:nvPicPr>
                  <pic:blipFill>
                    <a:blip r:embed="rId42"/>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spacing w:after="20"/>
        <w:jc w:val="right"/>
      </w:pPr>
      <w:r>
        <w:rPr>
          <w:rFonts w:ascii="游ゴシック" w:hAnsi="游ゴシック" w:eastAsia="游ゴシック"/>
          <w:b w:val="0"/>
          <w:sz w:val="17"/>
        </w:rPr>
        <w:t>令和8年度。各目標100点満点</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39.3点</w:t>
            </w:r>
          </w:p>
        </w:tc>
        <w:tc>
          <w:tcPr>
            <w:tcW w:type="dxa" w:w="1106"/>
          </w:tcPr>
          <w:p>
            <w:r/>
            <w:r>
              <w:rPr>
                <w:rFonts w:ascii="游ゴシック" w:hAnsi="游ゴシック" w:eastAsia="游ゴシック"/>
                <w:sz w:val="17"/>
              </w:rPr>
              <w:t>62.3点</w:t>
            </w:r>
          </w:p>
        </w:tc>
        <w:tc>
          <w:tcPr>
            <w:tcW w:type="dxa" w:w="1005"/>
          </w:tcPr>
          <w:p>
            <w:r/>
            <w:r>
              <w:rPr>
                <w:rFonts w:ascii="游ゴシック" w:hAnsi="游ゴシック" w:eastAsia="游ゴシック"/>
                <w:sz w:val="17"/>
              </w:rPr>
              <w:t>63.1％</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38.0点</w:t>
            </w:r>
          </w:p>
        </w:tc>
        <w:tc>
          <w:tcPr>
            <w:tcW w:type="dxa" w:w="1106"/>
          </w:tcPr>
          <w:p>
            <w:r/>
            <w:r>
              <w:rPr>
                <w:rFonts w:ascii="游ゴシック" w:hAnsi="游ゴシック" w:eastAsia="游ゴシック"/>
                <w:sz w:val="17"/>
              </w:rPr>
              <w:t>69.1点</w:t>
            </w:r>
          </w:p>
        </w:tc>
        <w:tc>
          <w:tcPr>
            <w:tcW w:type="dxa" w:w="1005"/>
          </w:tcPr>
          <w:p>
            <w:r/>
            <w:r>
              <w:rPr>
                <w:rFonts w:ascii="游ゴシック" w:hAnsi="游ゴシック" w:eastAsia="游ゴシック"/>
                <w:sz w:val="17"/>
              </w:rPr>
              <w:t>55.0％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50.8点</w:t>
            </w:r>
          </w:p>
        </w:tc>
        <w:tc>
          <w:tcPr>
            <w:tcW w:type="dxa" w:w="1005"/>
          </w:tcPr>
          <w:p>
            <w:r/>
            <w:r>
              <w:rPr>
                <w:rFonts w:ascii="游ゴシック" w:hAnsi="游ゴシック" w:eastAsia="游ゴシック"/>
                <w:sz w:val="17"/>
              </w:rPr>
              <w:t>79.4％</w:t>
            </w:r>
          </w:p>
        </w:tc>
        <w:tc>
          <w:tcPr>
            <w:tcW w:type="dxa" w:w="3518"/>
          </w:tcPr>
          <w:p>
            <w:r/>
            <w:r>
              <w:rPr>
                <w:rFonts w:ascii="游ゴシック" w:hAnsi="游ゴシック" w:eastAsia="游ゴシック"/>
                <w:sz w:val="17"/>
              </w:rPr>
              <w:t>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46.3点</w:t>
            </w:r>
          </w:p>
        </w:tc>
        <w:tc>
          <w:tcPr>
            <w:tcW w:type="dxa" w:w="1106"/>
          </w:tcPr>
          <w:p>
            <w:r/>
            <w:r>
              <w:rPr>
                <w:rFonts w:ascii="游ゴシック" w:hAnsi="游ゴシック" w:eastAsia="游ゴシック"/>
                <w:sz w:val="17"/>
              </w:rPr>
              <w:t>57.8点</w:t>
            </w:r>
          </w:p>
        </w:tc>
        <w:tc>
          <w:tcPr>
            <w:tcW w:type="dxa" w:w="1005"/>
          </w:tcPr>
          <w:p>
            <w:r/>
            <w:r>
              <w:rPr>
                <w:rFonts w:ascii="游ゴシック" w:hAnsi="游ゴシック" w:eastAsia="游ゴシック"/>
                <w:sz w:val="17"/>
              </w:rPr>
              <w:t>80.2％</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29.7点</w:t>
            </w:r>
          </w:p>
        </w:tc>
        <w:tc>
          <w:tcPr>
            <w:tcW w:type="dxa" w:w="1106"/>
          </w:tcPr>
          <w:p>
            <w:r/>
            <w:r>
              <w:rPr>
                <w:rFonts w:ascii="游ゴシック" w:hAnsi="游ゴシック" w:eastAsia="游ゴシック"/>
                <w:sz w:val="17"/>
              </w:rPr>
              <w:t>51.1点</w:t>
            </w:r>
          </w:p>
        </w:tc>
        <w:tc>
          <w:tcPr>
            <w:tcW w:type="dxa" w:w="1005"/>
          </w:tcPr>
          <w:p>
            <w:r/>
            <w:r>
              <w:rPr>
                <w:rFonts w:ascii="游ゴシック" w:hAnsi="游ゴシック" w:eastAsia="游ゴシック"/>
                <w:sz w:val="17"/>
              </w:rPr>
              <w:t>58.1％</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30.3点</w:t>
            </w:r>
          </w:p>
        </w:tc>
        <w:tc>
          <w:tcPr>
            <w:tcW w:type="dxa" w:w="1106"/>
          </w:tcPr>
          <w:p>
            <w:r/>
            <w:r>
              <w:rPr>
                <w:rFonts w:ascii="游ゴシック" w:hAnsi="游ゴシック" w:eastAsia="游ゴシック"/>
                <w:sz w:val="17"/>
              </w:rPr>
              <w:t>68.3点</w:t>
            </w:r>
          </w:p>
        </w:tc>
        <w:tc>
          <w:tcPr>
            <w:tcW w:type="dxa" w:w="1005"/>
          </w:tcPr>
          <w:p>
            <w:r/>
            <w:r>
              <w:rPr>
                <w:rFonts w:ascii="游ゴシック" w:hAnsi="游ゴシック" w:eastAsia="游ゴシック"/>
                <w:sz w:val="17"/>
              </w:rPr>
              <w:t>44.4％</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55.0点</w:t>
            </w:r>
          </w:p>
        </w:tc>
        <w:tc>
          <w:tcPr>
            <w:tcW w:type="dxa" w:w="1106"/>
          </w:tcPr>
          <w:p>
            <w:r/>
            <w:r>
              <w:rPr>
                <w:rFonts w:ascii="游ゴシック" w:hAnsi="游ゴシック" w:eastAsia="游ゴシック"/>
                <w:sz w:val="17"/>
              </w:rPr>
              <w:t>47.7点</w:t>
            </w:r>
          </w:p>
        </w:tc>
        <w:tc>
          <w:tcPr>
            <w:tcW w:type="dxa" w:w="1005"/>
          </w:tcPr>
          <w:p>
            <w:r/>
            <w:r>
              <w:rPr>
                <w:rFonts w:ascii="游ゴシック" w:hAnsi="游ゴシック" w:eastAsia="游ゴシック"/>
                <w:sz w:val="17"/>
              </w:rPr>
              <w:t>115.3％</w:t>
            </w:r>
          </w:p>
        </w:tc>
        <w:tc>
          <w:tcPr>
            <w:tcW w:type="dxa" w:w="3518"/>
          </w:tcPr>
          <w:p>
            <w:r/>
            <w:r>
              <w:rPr>
                <w:rFonts w:ascii="游ゴシック" w:hAnsi="游ゴシック" w:eastAsia="游ゴシック"/>
                <w:sz w:val="17"/>
              </w:rPr>
              <w:t>全国平均を上回る。第9期の成果として第1章に明記</w:t>
            </w:r>
          </w:p>
        </w:tc>
      </w:tr>
    </w:tbl>
    <w:p>
      <w:pPr>
        <w:spacing w:after="80"/>
      </w:pPr>
      <w:r>
        <w:rPr>
          <w:rFonts w:ascii="游ゴシック" w:hAnsi="游ゴシック" w:eastAsia="游ゴシック"/>
          <w:b w:val="0"/>
          <w:sz w:val="20"/>
        </w:rPr>
        <w:t>最も差が大きいのは支援Ⅲ（在宅医療・在宅介護連携）で全国を38.0点下回り、次いで推進Ⅱ（公正・公平な給付）が31.1点、支援Ⅱ（認知症総合支援）が21.4点下回ります。第10期ではこの3目標を重点とします。</w:t>
      </w:r>
    </w:p>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5" name="Picture 35"/>
            <wp:cNvGraphicFramePr>
              <a:graphicFrameLocks noChangeAspect="1"/>
            </wp:cNvGraphicFramePr>
            <a:graphic>
              <a:graphicData uri="http://schemas.openxmlformats.org/drawingml/2006/picture">
                <pic:pic>
                  <pic:nvPicPr>
                    <pic:cNvPr id="0" name="fig30_kpi_source.png"/>
                    <pic:cNvPicPr/>
                  </pic:nvPicPr>
                  <pic:blipFill>
                    <a:blip r:embed="rId43"/>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334.0点（令和8年度）</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全国454.9点。対全国73.4％。体制・取組指標群の改善が中心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6" name="Picture 36"/>
            <wp:cNvGraphicFramePr>
              <a:graphicFrameLocks noChangeAspect="1"/>
            </wp:cNvGraphicFramePr>
            <a:graphic>
              <a:graphicData uri="http://schemas.openxmlformats.org/drawingml/2006/picture">
                <pic:pic>
                  <pic:nvPicPr>
                    <pic:cNvPr id="0" name="fig29_1_hokenryo.png"/>
                    <pic:cNvPicPr/>
                  </pic:nvPicPr>
                  <pic:blipFill>
                    <a:blip r:embed="rId44"/>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7" name="Picture 37"/>
            <wp:cNvGraphicFramePr>
              <a:graphicFrameLocks noChangeAspect="1"/>
            </wp:cNvGraphicFramePr>
            <a:graphic>
              <a:graphicData uri="http://schemas.openxmlformats.org/drawingml/2006/picture">
                <pic:pic>
                  <pic:nvPicPr>
                    <pic:cNvPr id="0" name="fig29_2_kannai.png"/>
                    <pic:cNvPicPr/>
                  </pic:nvPicPr>
                  <pic:blipFill>
                    <a:blip r:embed="rId45"/>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8" name="Picture 38"/>
            <wp:cNvGraphicFramePr>
              <a:graphicFrameLocks noChangeAspect="1"/>
            </wp:cNvGraphicFramePr>
            <a:graphic>
              <a:graphicData uri="http://schemas.openxmlformats.org/drawingml/2006/picture">
                <pic:pic>
                  <pic:nvPicPr>
                    <pic:cNvPr id="0" name="fig33_hokenryo.png"/>
                    <pic:cNvPicPr/>
                  </pic:nvPicPr>
                  <pic:blipFill>
                    <a:blip r:embed="rId46"/>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9" name="Picture 39"/>
            <wp:cNvGraphicFramePr>
              <a:graphicFrameLocks noChangeAspect="1"/>
            </wp:cNvGraphicFramePr>
            <a:graphic>
              <a:graphicData uri="http://schemas.openxmlformats.org/drawingml/2006/picture">
                <pic:pic>
                  <pic:nvPicPr>
                    <pic:cNvPr id="0" name="fig33_2_yoin.png"/>
                    <pic:cNvPicPr/>
                  </pic:nvPicPr>
                  <pic:blipFill>
                    <a:blip r:embed="rId47"/>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