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spacing w:after="160" w:line="432" w:lineRule="atLeast"/>
        <w:jc w:val="center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32"/>
          <w:szCs w:val="32"/>
        </w:rPr>
        <w:t xml:space="preserve">第3回 北塩原村高齢者福祉計画・介護保険事業計画</w:t>
      </w:r>
    </w:p>
    <w:p>
      <w:pPr>
        <w:spacing w:after="700" w:line="432" w:lineRule="atLeast"/>
        <w:jc w:val="center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32"/>
          <w:szCs w:val="32"/>
        </w:rPr>
        <w:t xml:space="preserve">策定委員会　資料</w:t>
      </w:r>
    </w:p>
    <w:p>
      <w:pPr>
        <w:spacing w:after="160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令和9年1月下旬〜2月上旬　開催予定</w:t>
      </w:r>
    </w:p>
    <w:p>
      <w:pPr>
        <w:spacing w:after="10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資料4　計画素案（全文）の確認</w:t>
      </w:r>
    </w:p>
    <w:p>
      <w:pPr>
        <w:spacing w:after="10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資料5　サービス見込量と必要利用定員総数（決定案）</w:t>
      </w:r>
    </w:p>
    <w:p>
      <w:pPr>
        <w:spacing w:after="10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資料6　介護保険料（決定案）</w:t>
      </w:r>
    </w:p>
    <w:p>
      <w:pPr>
        <w:spacing w:after="10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資料7　成果目標・活動指標（決定案）</w:t>
      </w:r>
    </w:p>
    <w:p>
      <w:pPr>
        <w:spacing w:after="160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資料8　パブリックコメントと今後の日程</w:t>
      </w:r>
    </w:p>
    <w:p>
      <w:pPr>
        <w:spacing w:after="12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令和8年　月　日</w:t>
      </w:r>
    </w:p>
    <w:p>
      <w:pPr>
        <w:spacing w:after="0" w:line="378" w:lineRule="atLeast"/>
        <w:jc w:val="center"/>
      </w:pPr>
      <w:r>
        <w:rPr>
          <w:rFonts w:ascii="BIZ UDPゴシック" w:cs="BIZ UDPゴシック" w:eastAsia="BIZ UDPゴシック" w:hAnsi="BIZ UDPゴシック"/>
          <w:b/>
          <w:bCs/>
          <w:sz w:val="28"/>
          <w:szCs w:val="28"/>
        </w:rPr>
        <w:t xml:space="preserve">北塩原村</w:t>
      </w:r>
    </w:p>
    <w:p>
      <w:r>
        <w:br w:type="page"/>
      </w:r>
    </w:p>
    <w:p>
      <w:pPr>
        <w:spacing w:after="240" w:line="378" w:lineRule="atLeast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8"/>
          <w:szCs w:val="28"/>
        </w:rPr>
        <w:t xml:space="preserve">本資料の見方</w:t>
      </w:r>
    </w:p>
    <w:p>
      <w:pPr>
        <w:spacing w:after="18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本資料は、令和9年1月下旬から2月上旬に開催する第3回策定委員会の資料です。第3回は計画の内容を決める最後の会議であり、本日のご決定をもって計画案を確定し、パブリックコメントに付します。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34"/>
        <w:gridCol w:w="6926"/>
      </w:tblGrid>
      <w:tr>
        <w:trPr>
          <w:cantSplit/>
          <w:tblHeader/>
        </w:trPr>
        <w:tc>
          <w:tcPr>
            <w:tcW w:type="dxa" w:w="2434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表記</w:t>
            </w:r>
          </w:p>
        </w:tc>
        <w:tc>
          <w:tcPr>
            <w:tcW w:type="dxa" w:w="6926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意味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本日までに確定していない事項です。確定の条件と入る箇所を併記しています。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網掛けの囲み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委員の皆様にご留意いただきたい点です。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注記の囲み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未確定の事項と、その確定の見通しです。</w:t>
            </w:r>
          </w:p>
        </w:tc>
      </w:tr>
    </w:tbl>
    <w:p>
      <w:pPr>
        <w:spacing w:after="20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spacing w:after="18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資料5・6は決定案です。第2回でお示しした複数のパターンから前提を1つに定めています。第2回以降に値が得られた事項（入力値の取得・確定の条件待ちを含む）は資料2-2に一覧で示しています。</w:t>
      </w:r>
    </w:p>
    <w:p>
      <w:pPr>
        <w:spacing w:after="24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本資料は骨子です。確定していない数値を入れる箇所は【要確定】の枠で示し、何が決まれば埋まるかを一つずつ記載しています。</w:t>
      </w:r>
    </w:p>
    <w:p>
      <w:r>
        <w:br w:type="page"/>
      </w:r>
    </w:p>
    <w:p>
      <w:pPr>
        <w:spacing w:after="360" w:line="432" w:lineRule="atLeast"/>
        <w:jc w:val="center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32"/>
          <w:szCs w:val="32"/>
        </w:rPr>
        <w:t xml:space="preserve">目　次</w:t>
      </w:r>
    </w:p>
    <w:sdt>
      <w:sdtPr>
        <w:alias w:val="目次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hd w:fill="262626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資料1　次第・委員名簿・座席表</w:t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1-1　会議次第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"/>
        <w:gridCol w:w="8424"/>
      </w:tblGrid>
      <w:tr>
        <w:trPr>
          <w:cantSplit/>
          <w:tblHeader/>
        </w:trPr>
        <w:tc>
          <w:tcPr>
            <w:tcW w:type="dxa" w:w="936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8424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開会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第2回の審議結果と反映状況の報告（資料2）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アンケート調査結果の報告（資料3）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計画素案（全文）の確認（資料4）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サービス見込量と必要利用定員総数（決定案）（資料5）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介護保険料（決定案）（資料6）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成果目標・活動指標（決定案）（資料7）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パブリックコメントの実施と今後の日程（資料8）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閉会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開催日は未定。第2回を令和8年11月に開催し、パブリックコメントを令和9年1月から2月にかけて実施する日程を前提に置いている。委員の任期は令和8年9月30日に満了しており、改選・委嘱の手続が第2回・第3回の開催の前提となる（確認事項 体制）。</w:t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1-2　本日ご決定いただきたい事項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第3回は、計画の内容を決める最後の会議です。本日ご決定いただく事項は次のとおりです。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49"/>
        <w:gridCol w:w="5803"/>
        <w:gridCol w:w="2808"/>
      </w:tblGrid>
      <w:tr>
        <w:trPr>
          <w:cantSplit/>
          <w:tblHeader/>
        </w:trPr>
        <w:tc>
          <w:tcPr>
            <w:tcW w:type="dxa" w:w="749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5803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決定いただく事項</w:t>
            </w:r>
          </w:p>
        </w:tc>
        <w:tc>
          <w:tcPr>
            <w:tcW w:type="dxa" w:w="2808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資料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計画素案の全文（第2回の審議の反映を含む）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資料4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サービス見込量と認知症対応型共同生活介護の必要利用定員総数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第1号被保険者の保険料の基準額と所得段階の設定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成果目標・活動指標の目標値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資料7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パブリックコメントの実施期間と意見の取扱い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資料8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404040" w:sz="18" w:space="8"/>
        </w:pBdr>
        <w:shd w:fill="F2F2F2" w:val="clear"/>
        <w:spacing w:after="200" w:before="140" w:line="300" w:lineRule="exact"/>
        <w:ind w:left="200" w:right="200"/>
      </w:pPr>
      <w:r>
        <w:rPr>
          <w:rFonts w:ascii="BIZ UDPゴシック" w:cs="BIZ UDPゴシック" w:eastAsia="BIZ UDPゴシック" w:hAnsi="BIZ UDPゴシック"/>
          <w:b/>
          <w:bCs/>
          <w:sz w:val="20"/>
          <w:szCs w:val="20"/>
        </w:rPr>
        <w:t xml:space="preserve">本日のご決定をもって計画案を確定し、パブリックコメントに付します。</w:t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1-3　委員名簿・座席表</w:t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改選後の委員により作成する。氏名は個人情報のため、本骨子には記載しない。</w:t>
      </w:r>
    </w:p>
    <w:p>
      <w:r>
        <w:br w:type="page"/>
      </w:r>
    </w:p>
    <w:p>
      <w:pPr>
        <w:pStyle w:val="Heading1"/>
        <w:keepNext/>
        <w:keepLines/>
        <w:shd w:fill="262626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資料2　第2回の審議結果と反映状況</w:t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2-1　第2回でいただいたご意見と反映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第2回策定委員会でいただいたご意見と、計画素案への反映の状況をお示しします。</w:t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第2回の開催後に作成する。ご意見ごとに、反映した箇所（節番号）または反映しなかった理由を一対一で示す。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【要確定】第2回の審議結果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第2回策定委員会の開催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資料2の全体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2-2　第2回以降に値が得られた事項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第2回の時点で値が得られていなかった項目のうち、本日までに値が得られたものをお示しします。値が得られたことと、決定したことは区別して示します。</w:t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素案5-12（現時点で据え置いた項目と確定の条件）の各行について、確定したかどうかを一覧にする。確定した項目は素案の該当節に反映済みであることを示す。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骨子を作った時点で値が得られていなかった事項は22件でした。国の推計ワークシートと県の整備量見込みシートの受領により、次の11件は値が得られ、本資料の該当箇所に反映しています。ただし、いずれも村が県に提出した入力値または現時点の値であり、政令・告示や村の決定、本委員会の決定を経たものではありません。それぞれの段階を出どころの欄に示しています。確定していない事項の枠は20件になりました（確定により消えた枠が3件、問いが狭まった枠が2件、新たに生じた枠が1件）。各資料の「確定していない事項」の欄で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2"/>
        <w:gridCol w:w="6458"/>
        <w:gridCol w:w="2340"/>
      </w:tblGrid>
      <w:tr>
        <w:trPr>
          <w:cantSplit/>
          <w:tblHeader/>
        </w:trPr>
        <w:tc>
          <w:tcPr>
            <w:tcW w:type="dxa" w:w="562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6458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値が得られた事項</w:t>
            </w:r>
          </w:p>
        </w:tc>
        <w:tc>
          <w:tcPr>
            <w:tcW w:type="dxa" w:w="2340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反映した箇所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国の推計ワークシートによる算定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施設・居住系5サービスの見込量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第1号被保険者数の区分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必要利用定員総数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資料5-2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定員に対する利用者数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資料5-2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第1号被保険者負担割合（α）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介護給付費準備基金の残高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所得段階別加入割合補正後被保険者数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条例上の基準額の置き方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村の段階区分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資料6-2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非課税層の分布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資料6-2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新たに生じた枠は、ワークシートに令和9年度以降も0で入っている6サービスの扱いである（資料5-1）。</w:t>
      </w:r>
    </w:p>
    <w:p>
      <w:r>
        <w:br w:type="page"/>
      </w:r>
    </w:p>
    <w:p>
      <w:pPr>
        <w:pStyle w:val="Heading1"/>
        <w:keepNext/>
        <w:keepLines/>
        <w:shd w:fill="262626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資料3　アンケート調査結果</w:t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3-1　調査の概要と回収状況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介護予防・日常生活圏域ニーズ調査および在宅介護実態調査の結果をご報告します。</w:t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調査票の作成・発送・回収は別途進めている。集計・分析の結果が出た時点で本資料を作成する。第2回では速報をお示ししており、本日は確定値による。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【要確定】回収数・回収率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調査票の回収と集計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資料3-1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【要確定】リスク判定10種の該当状況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集計（見える化の算出方法との突合）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資料3-2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【要確定】ICFの構成要素に基づくクロス分析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集計（軸の確保）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資料3-5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3-2　計画に反映した調査結果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調査結果のうち、計画の施策に反映したものをお示しします。</w:t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素案2-10（アンケート調査結果）および第4章の各施策の現状の記述と一対一で対応させる。</w:t>
      </w:r>
    </w:p>
    <w:p>
      <w:r>
        <w:br w:type="page"/>
      </w:r>
    </w:p>
    <w:p>
      <w:pPr>
        <w:pStyle w:val="Heading1"/>
        <w:keepNext/>
        <w:keepLines/>
        <w:shd w:fill="262626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資料4　計画素案（全文）の確認</w:t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4-1　計画書の構成と分量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計画書の構成と分量をお示しします。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5429"/>
        <w:gridCol w:w="2808"/>
      </w:tblGrid>
      <w:tr>
        <w:trPr>
          <w:cantSplit/>
          <w:tblHeader/>
        </w:trPr>
        <w:tc>
          <w:tcPr>
            <w:tcW w:type="dxa" w:w="1123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区分</w:t>
            </w:r>
          </w:p>
        </w:tc>
        <w:tc>
          <w:tcPr>
            <w:tcW w:type="dxa" w:w="5429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2808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推定頁数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前付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表紙・本書の見方・目次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計画の策定にあたって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第2章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高齢者を取り巻く状況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第3章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計画の基本的な考え方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第4章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施策の展開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第5章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介護保険料の設定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第6章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計画の推進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資料編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策定経過・用語解説ほか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合計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頁数は、版面・字送り・表の行数から積み上げた推定による。確定した素案により作成時に埋める。仕様書の目安はA4判・両面約100頁である。</w:t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4-2　第2回からの主な変更点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第2回にお示しした素案からの主な変更点をお示しします。</w:t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第2回の審議の反映、確定した数値の差替え、パブリックコメント前の整理を変更の種類ごとに示す。</w:t>
      </w:r>
    </w:p>
    <w:p>
      <w:r>
        <w:br w:type="page"/>
      </w:r>
    </w:p>
    <w:p>
      <w:pPr>
        <w:pStyle w:val="Heading1"/>
        <w:keepNext/>
        <w:keepLines/>
        <w:shd w:fill="262626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資料5　サービス見込量と必要利用定員総数（決定案）</w:t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5-1　サービス見込量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令和9年度から令和11年度までのサービス見込量をお示しします。</w:t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素案5-4の表をそのまま用いる。第2回では現行単価による試算をお示ししており、本日は第2回以降に得られた値（下表。段階を併記）による。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値が得られた事項</w:t>
            </w:r>
          </w:p>
        </w:tc>
        <w:tc>
          <w:tcPr>
            <w:tcW w:type="dxa" w:w="4493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現時点の値</w:t>
            </w:r>
          </w:p>
        </w:tc>
        <w:tc>
          <w:tcPr>
            <w:tcW w:type="dxa" w:w="2059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出どころ（段階）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国の推計ワークシートによる算定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令和8年10月7日に受領した（将来推計総括表・令和8年10月5日出力）。サービス見込量・給付費・保険料の算定をこのシートの前提にそろえた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村提供（国の推計ワークシート。暫定の入力値）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施設・居住系5サービスの見込量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県の整備量見込みシート（令和8年10月6日提出）の値に置き換えた。記入要領は「令和6〜8年度は月平均の実績人数（四捨五入）」であり、当方の算出は四捨五入の範囲で一致した。認知症対応型共同生活介護はワークシートの値（27人・28人・29人）と1〜2人の差があり、村に確認中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村提供（県の整備量見込みシート。県への提出値）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第1号被保険者数の区分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ワークシートは3区分（前期65〜74歳／後期75〜84歳／後期85歳以上）で持っており、村は3区分で提出していた。素案5-2を3区分にそろえた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【要確定】令和9年度以降も0で入っている6サービスの扱い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村のご回答（提出期限 令和8年10月13日18時）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資料5-1・素案5-4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【要確定】居宅療養管理指導・短期入所生活介護の置き方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3か年平均か令和7年度水準かの村の判断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【要確定】特定地域サービス・特定地域居宅サービス等事業の有無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省令・通知および村の活用の意向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【要確定】令和9年4月の介護報酬改定率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改定率の告示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資料5-1・資料6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5-2　認知症対応型共同生活介護の必要利用定員総数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地域密着型サービスの必要利用定員総数は、計画に定めることが介護保険法第117条第2項第1号により求められています。本村で該当するのは認知症対応型共同生活介護です。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現在の定員は27人です。第10期の必要利用定員総数をご決定いただきます。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値が得られた事項</w:t>
            </w:r>
          </w:p>
        </w:tc>
        <w:tc>
          <w:tcPr>
            <w:tcW w:type="dxa" w:w="4493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現時点の値</w:t>
            </w:r>
          </w:p>
        </w:tc>
        <w:tc>
          <w:tcPr>
            <w:tcW w:type="dxa" w:w="2059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出どころ（段階）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必要利用定員総数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令和9年度から令和11年度までいずれも27人（整備数0）で県に提出済みである。県の施設・居住系サービスの整備量見込みシート（令和8年10月6日提出）による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村提供（県への提出値。計画に定める値は本日ご決定いただく）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定員に対する利用者数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令和8年度26人から令和9〜11年度27人となり、定員に対する到達率は令和6年度77.8%・令和7年度88.9%・令和8年度96.3%・計画期間100%（満床）である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県の整備量見込みシート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定員27人の据置きは村が県に提出した内容と一致しており、計画に定める必要利用定員総数は27人とする案をお示しします。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【要確定】満床の見込みに対する対応（増床・村外・在宅のいずれを取るか）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待機の状況（人数・待機期間）の把握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資料5-2・素案5-4(8)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村内の認知症対応型共同生活介護は2事業所・定員27人のみである。必要利用定員総数は27人とする案であるが、計画期間を通じて到達率100%（満床）の見込みであり、待機者がいる場合は村外または在宅での対応になる。待機の状況が把握できていないため、増床の要否を判断する材料がそろっていない（確認事項）。</w:t>
      </w:r>
    </w:p>
    <w:p>
      <w:r>
        <w:br w:type="page"/>
      </w:r>
    </w:p>
    <w:p>
      <w:pPr>
        <w:pStyle w:val="Heading1"/>
        <w:keepNext/>
        <w:keepLines/>
        <w:shd w:fill="262626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資料6　介護保険料（決定案）</w:t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6-1　保険料の基準額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第10期の第1号被保険者の保険料の基準額をお示しします。</w:t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第2回では複数のパターンをお示しした。本日は前提を1つに定めた決定案を示す。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値が得られた事項</w:t>
            </w:r>
          </w:p>
        </w:tc>
        <w:tc>
          <w:tcPr>
            <w:tcW w:type="dxa" w:w="4493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現時点の値</w:t>
            </w:r>
          </w:p>
        </w:tc>
        <w:tc>
          <w:tcPr>
            <w:tcW w:type="dxa" w:w="2059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出どころ（段階）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第1号被保険者負担割合（α）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国の推計ワークシートでは23%（第9期と同じ）が置かれている。本村では1ポイントで月額約294円である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国の推計ワークシート（参考シート）。正式には政令で定まる（確定の条件待ち）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介護給付費準備基金の残高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令和8年度末の見込額 42,128,183円。第9期計画の24,000,000円は期間合計である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国の推計ワークシートへの入力値。令和6年度末の決算残高20,461,007円からの積算の根拠を村に確認中（確定の条件待ち）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所得段階別加入割合補正後被保険者数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3か年で3,054人。村は標準の段階区分で提出しており、弾力化をした場合の行はすべて0である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国の推計ワークシート（参考シート）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条例上の基準額の置き方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百円未満切捨てである。第9期は算定上6,760.76円に対し条例6,700円であり、四捨五入（6,800円）では説明できない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第9期の条例との突合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基金の取崩額を変えたときの保険料の基準額は次のとおりです。取崩額をいくらとするかは村のご判断であり、第2回のご審議事項①です。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2153"/>
        <w:gridCol w:w="1217"/>
        <w:gridCol w:w="1123"/>
        <w:gridCol w:w="1217"/>
        <w:gridCol w:w="936"/>
        <w:gridCol w:w="1310"/>
        <w:gridCol w:w="936"/>
      </w:tblGrid>
      <w:tr>
        <w:trPr>
          <w:cantSplit/>
          <w:tblHeader/>
        </w:trPr>
        <w:tc>
          <w:tcPr>
            <w:tcW w:type="dxa" w:w="468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案</w:t>
            </w:r>
          </w:p>
        </w:tc>
        <w:tc>
          <w:tcPr>
            <w:tcW w:type="dxa" w:w="2153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考え方</w:t>
            </w:r>
          </w:p>
        </w:tc>
        <w:tc>
          <w:tcPr>
            <w:tcW w:type="dxa" w:w="1217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取崩額</w:t>
            </w:r>
          </w:p>
        </w:tc>
        <w:tc>
          <w:tcPr>
            <w:tcW w:type="dxa" w:w="1123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算定上の月額</w:t>
            </w:r>
          </w:p>
        </w:tc>
        <w:tc>
          <w:tcPr>
            <w:tcW w:type="dxa" w:w="1217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条例上の基準額</w:t>
            </w:r>
          </w:p>
        </w:tc>
        <w:tc>
          <w:tcPr>
            <w:tcW w:type="dxa" w:w="936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第9期差</w:t>
            </w:r>
          </w:p>
        </w:tc>
        <w:tc>
          <w:tcPr>
            <w:tcW w:type="dxa" w:w="1310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期末の残高</w:t>
            </w:r>
          </w:p>
        </w:tc>
        <w:tc>
          <w:tcPr>
            <w:tcW w:type="dxa" w:w="936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第11期（条例）</w:t>
            </w:r>
          </w:p>
        </w:tc>
      </w:tr>
      <w:tr>
        <w:trPr>
          <w:cantSplit/>
        </w:trPr>
        <w:tc>
          <w:tcPr>
            <w:tcW w:type="dxa" w:w="46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A案</w:t>
            </w:r>
          </w:p>
        </w:tc>
        <w:tc>
          <w:tcPr>
            <w:tcW w:type="dxa" w:w="215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基金を取り崩さない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0円</w:t>
            </w:r>
          </w:p>
        </w:tc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6,610.55円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6,600円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▲100円</w:t>
            </w:r>
          </w:p>
        </w:tc>
        <w:tc>
          <w:tcPr>
            <w:tcW w:type="dxa" w:w="131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42,128,183円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6,100円</w:t>
            </w:r>
          </w:p>
        </w:tc>
      </w:tr>
      <w:tr>
        <w:trPr>
          <w:cantSplit/>
        </w:trPr>
        <w:tc>
          <w:tcPr>
            <w:tcW w:type="dxa" w:w="46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B案</w:t>
            </w:r>
          </w:p>
        </w:tc>
        <w:tc>
          <w:tcPr>
            <w:tcW w:type="dxa" w:w="215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第9期と同程度に取り崩す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24,000,000円</w:t>
            </w:r>
          </w:p>
        </w:tc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5,952.45円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5,900円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▲800円</w:t>
            </w:r>
          </w:p>
        </w:tc>
        <w:tc>
          <w:tcPr>
            <w:tcW w:type="dxa" w:w="131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18,128,183円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6,700円</w:t>
            </w:r>
          </w:p>
        </w:tc>
      </w:tr>
      <w:tr>
        <w:trPr>
          <w:cantSplit/>
        </w:trPr>
        <w:tc>
          <w:tcPr>
            <w:tcW w:type="dxa" w:w="46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C案</w:t>
            </w:r>
          </w:p>
        </w:tc>
        <w:tc>
          <w:tcPr>
            <w:tcW w:type="dxa" w:w="215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国の推計ワークシートの前提どおり取り崩す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40,000,000円</w:t>
            </w:r>
          </w:p>
        </w:tc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5,513.72円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5,500円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▲1,200円</w:t>
            </w:r>
          </w:p>
        </w:tc>
        <w:tc>
          <w:tcPr>
            <w:tcW w:type="dxa" w:w="131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2,128,183円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7,200円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404040" w:sz="18" w:space="8"/>
        </w:pBdr>
        <w:shd w:fill="F2F2F2" w:val="clear"/>
        <w:spacing w:after="200" w:before="140" w:line="300" w:lineRule="exact"/>
        <w:ind w:left="200" w:right="200"/>
      </w:pPr>
      <w:r>
        <w:rPr>
          <w:rFonts w:ascii="BIZ UDPゴシック" w:cs="BIZ UDPゴシック" w:eastAsia="BIZ UDPゴシック" w:hAnsi="BIZ UDPゴシック"/>
          <w:b/>
          <w:bCs/>
          <w:sz w:val="20"/>
          <w:szCs w:val="20"/>
        </w:rPr>
        <w:t xml:space="preserve">基金の取崩額は保険料の基準額を月額で数百円動かします。取り崩すほど第10期は下がりますが、第11期の上がり幅が大きくなります（A案は第11期が第10期比▲7.2%、C案は＋31.4%）。あわせて、基金には推計の誤差を吸収する役割があります。推計そのものの誤差は絶対値の平均で11.9%（月額約700円）あり、C案の期末残高2,128,183円が吸収できるのは月額58円分にとどまります。取崩しの考え方を第3回でご決定いただき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【要確定】基金の取崩額（A案・B案・C案のいずれを採るか）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第2回のご審議事項①についての村のご決定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資料6-1・素案5-7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【要確定】調整交付金の見込交付割合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主要3事業の勘案についての県への照会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6-2　所得段階の設定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保険料の所得段階の区分と乗率をお示しします。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値が得られた事項</w:t>
            </w:r>
          </w:p>
        </w:tc>
        <w:tc>
          <w:tcPr>
            <w:tcW w:type="dxa" w:w="4493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現時点の値</w:t>
            </w:r>
          </w:p>
        </w:tc>
        <w:tc>
          <w:tcPr>
            <w:tcW w:type="dxa" w:w="2059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出どころ（段階）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村の段階区分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村は標準の段階区分で提出している。ワークシートの「弾力化をした場合の所得段階別加入割合」および「同 被保険者数」の行はすべて0である。第9期の標準13段階を据え置いて算定している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国の推計ワークシート（参考シート）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非課税層の分布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市町村民税非課税の第1段階から第5段階が612人・60.3%を占め、非課税の最上位である第5段階に193人、課税の最下位である第6段階に159人が分布している。非課税から課税に上がるときの上昇の緩和は、この境界にいる方に直接関わ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令和8年度合計所得金額分布調査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【要確定】所得段階の段数と乗率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標準段階を定める政令、村の条例の改正の予定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資料6-2・素案5-7(2)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【要確定】合計所得金額の基準額（82.65万円）に係る条例改正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村の条例改正の手続と時期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資料6-2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6-3　低所得者への対応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低所得の方への保険料の軽減についてお示しします。</w:t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素案5-10による。本村は第1段階から第3段階に346人・34.1%が属し、非課税層が60.3%を占める。軽減の影響が大きい。</w:t>
      </w:r>
    </w:p>
    <w:p>
      <w:r>
        <w:br w:type="page"/>
      </w:r>
    </w:p>
    <w:p>
      <w:pPr>
        <w:pStyle w:val="Heading1"/>
        <w:keepNext/>
        <w:keepLines/>
        <w:shd w:fill="262626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資料7　成果目標・活動指標（決定案）</w:t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7-1　成果目標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第10期の成果目標をお示しします。</w:t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素案6-3による。国の評価指標の成果指標群（目標Ⅳ）と対応させる。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【要確定】要介護度の変化に関する目標値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要介護3〜5の方の状態の変化が令和8年度に0点となった実態の把握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資料7-1・素案6-3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【要確定】性・年齢調整済み要介護2以上認定率の目標値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村の政策判断（現状8.65%・令和5年度）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資料7-1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7-2　活動指標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第10期の活動指標をお示しします。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【要確定】通いの場の箇所数・参加者数の目標値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参加者281人が実人数か延べ人数かの確認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資料7-2・素案6-3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【要確定】総合事業の多様なサービスの創設の有無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サービスA〜Dを第10期で立ち上げる村の意向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 施策1-2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【要確定】交付金の未得点項目のうち取り組む項目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取得をめざす11項目62点（認知症施策推進計画の5点を加え12項目67点）の取組可否の村の判断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資料7-2・素案6-3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7-3　進捗管理の仕組み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目標の達成状況をどのように確認し、公表するかをお示しします。</w:t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素案6-2・6-4による。第9期計画には評価の方法・時期・報告先が定められていなかった。第10期では毎年度、計画値と実績値の乖離を検証する。</w:t>
      </w:r>
    </w:p>
    <w:p>
      <w:r>
        <w:br w:type="page"/>
      </w:r>
    </w:p>
    <w:p>
      <w:pPr>
        <w:pStyle w:val="Heading1"/>
        <w:keepNext/>
        <w:keepLines/>
        <w:shd w:fill="262626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資料8　パブリックコメントと今後の日程</w:t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8-1　パブリックコメントの実施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計画案について、村民の皆様からご意見を募集します。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【要確定】実施期間（30日間）と実施主体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村の庁内手続の日程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資料8-1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【要確定】意見の募集方法と公表の方法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村の決定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資料8-1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パブリックコメントの結果は素案 資4（パブリックコメントの実施結果）に掲載する。意見と村の考え方を一対一で示す。</w:t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8-2　今後の日程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計画の確定までの日程をお示しします。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6552"/>
      </w:tblGrid>
      <w:tr>
        <w:trPr>
          <w:cantSplit/>
          <w:tblHeader/>
        </w:trPr>
        <w:tc>
          <w:tcPr>
            <w:tcW w:type="dxa" w:w="2808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時期</w:t>
            </w:r>
          </w:p>
        </w:tc>
        <w:tc>
          <w:tcPr>
            <w:tcW w:type="dxa" w:w="6552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事項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令和9年1月下旬〜2月上旬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第3回策定委員会（本日）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令和9年1月〜2月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パブリックコメント（30日間）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令和9年2月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意見の反映・計画案の確定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令和9年2月〜3月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議会全員協議会での説明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令和9年3月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計画書の印刷・製本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令和9年4月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計画の開始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履行期限は令和9年3月31日である。パブリックコメントに30日を要するため、第3回の開催が遅れると以降の工程に余裕がなくなる。</w:t>
      </w:r>
    </w:p>
    <w:sectPr>
      <w:footerReference w:type="default" r:id="rId7"/>
      <w:footerReference w:type="first" r:id="rId8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BIZ UDPゴシック" w:cs="BIZ UDPゴシック" w:eastAsia="BIZ UDPゴシック" w:hAnsi="BIZ UDPゴシック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ゴシック" w:cs="BIZ UDPゴシック" w:eastAsia="BIZ UDPゴシック" w:hAnsi="BIZ UDPゴシック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color w:val="262626"/>
    </w:rPr>
  </w:style>
  <w:style w:type="paragraph" w:styleId="Heading1">
    <w:name w:val="Heading 1"/>
    <w:basedOn w:val="Normal"/>
    <w:next w:val="Normal"/>
    <w:qFormat/>
    <w:rPr>
      <w:rFonts w:ascii="BIZ UDPゴシック" w:cs="BIZ UDPゴシック" w:eastAsia="BIZ UDPゴシック" w:hAnsi="BIZ UDPゴシック"/>
      <w:b/>
      <w:bCs/>
      <w:color w:val="FFFFFF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BIZ UDPゴシック" w:cs="BIZ UDPゴシック" w:eastAsia="BIZ UDPゴシック" w:hAnsi="BIZ UDPゴシック"/>
      <w:b/>
      <w:bCs/>
      <w:color w:val="262626"/>
      <w:sz w:val="25"/>
      <w:szCs w:val="25"/>
    </w:rPr>
  </w:style>
  <w:style w:type="paragraph" w:styleId="Heading3">
    <w:name w:val="Heading 3"/>
    <w:basedOn w:val="Normal"/>
    <w:next w:val="Normal"/>
    <w:qFormat/>
    <w:rPr>
      <w:color w:val="262626"/>
    </w:rPr>
  </w:style>
  <w:style w:type="paragraph" w:styleId="Heading4">
    <w:name w:val="Heading 4"/>
    <w:basedOn w:val="Normal"/>
    <w:next w:val="Normal"/>
    <w:qFormat/>
    <w:rPr>
      <w:color w:val="262626"/>
    </w:rPr>
  </w:style>
  <w:style w:type="paragraph" w:styleId="Heading5">
    <w:name w:val="Heading 5"/>
    <w:basedOn w:val="Normal"/>
    <w:next w:val="Normal"/>
    <w:qFormat/>
    <w:rPr>
      <w:color w:val="262626"/>
    </w:rPr>
  </w:style>
  <w:style w:type="paragraph" w:styleId="Heading6">
    <w:name w:val="Heading 6"/>
    <w:basedOn w:val="Normal"/>
    <w:next w:val="Normal"/>
    <w:qFormat/>
    <w:rPr>
      <w:color w:val="262626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262626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2026-10-24T21:44:22.745Z</dcterms:created>
  <dcterms:modified xsi:type="dcterms:W3CDTF">2026-10-24T21:44:22.745Z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