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2021（第9次県高齢者福祉計画・第8次県介護保険事業支援計画。同計画の策定時点の県計画。現行は第10次県高齢者福祉計画・第9次県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ただし、有料老人ホームの登録制度とこれに伴う特定施設の定義・入居定員総数の勘案の一部は公布後2年以内、介護支援専門員の更新制の廃止は公布後1年6月以内、登録施設介護支援の創設と被保険者証の一部の規定は公布後3年以内に、それぞれ政令で定める日から施行されます（同法附則第1条）。中長期的な推計を定めること（介護保険法第117条第2項第3号・第4号）と、その際の都道府県の意見聴取（同条第14項）は原則どおり令和9年4月1日の施行で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村内に該当施設はありません。村外施設の利用状況の把握に関わります。施行は公布後2年以内に政令で定める日です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介護支援専門員証の更新制の廃止、電子資格確認の導入と被保険者証の返還等の手続の見直し、要介護認定等の申請代行を行うことができる者の範囲の見直し等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に関するもので、給付費および保険料には影響しません。制度の周知と窓口事務の見直しに反映します。施行は事項ごとに異なり、更新制の廃止は公布後1年6月以内、被保険者証の一部の規定は公布後3年以内に政令で定める日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行期日は法律案要綱の第10（附則第1条関係）と厚生労働省の改正法の概要により改正事項ごとに確かめました。政令で定める日は本稿の時点で定まっていません。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施策4-1（在宅医療・介護連携の推進）に反映します。協力医療機関の3つの要件を満たさない施設の把握が求められますが、村内の入所施設は認知症対応型共同生活介護の2事業所（定員27人）のみです（2-4）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年齢構成の変化だけでは説明しきれない上昇があることがうかが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で（類型別の内訳は人数が少ないため掲げません）、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次期の介護保険事業支援計画（令和9年度から令和11年度まで。県の計画は「第10次高齢者福祉計画・第9次介護保険事業支援計画」のように独自の次数で呼ばれ、本計画の「第10期」とは数え方が異なります）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編集注記：実績値は村からの確認中です（資料提供確認依頼書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第10期の保険料基準額（算定上の月額。基金の取崩額は未決定）</w:t>
      </w:r>
    </w:p>
    <w:p>
      <w:pPr>
        <w:spacing w:after="120" w:line="300" w:lineRule="exact"/>
      </w:pPr>
      <w:r>
        <w:rPr>
          <w:rFonts w:ascii="BIZ UDPゴシック" w:cs="BIZ UDPゴシック" w:eastAsia="BIZ UDPゴシック" w:hAnsi="BIZ UDPゴシック"/>
          <w:sz w:val="21"/>
          <w:szCs w:val="21"/>
        </w:rPr>
        <w:t xml:space="preserve">第10期の保険料基準額は、介護給付費準備基金をいくら取り崩すかで決まり、取崩額は村が決める段階にあります（下の「介護給付費準備基金の取崩しの水準」の3案）。国の推計ワークシート（将来推計総括表）は、基金40,000,000円を取り崩す前提（C案に当たる）で算定上の月額を5,513.72円としています。取り崩さない場合（A案）は6,610.55円です。いずれも条例で定める額（百円未満の端数を処理した額）になる前の算定上の月額であり、比べる相手も第9期の算定上の月額6,760.76円です（第9期の条例で定めた額は6,700円）。C案の前提では▲1,247.04円（▲18.45%）、A案の前提では▲150.21円の差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た介護給付費準備基金の残高（令和8年度末の見込額）は42,128,183円で、このうち40,000,000円（94.9%）を取り崩す前提で算定されています。この見込額は入力値であり、令和7年度決算・令和8年度の積立ての予定による裏付けは確認中です（下の決算との比較）。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見込み286,016千円（ワークシートの実績見込。年度途中の値であり決算ではありません）とほぼ同水準です。第10期が低く見えるのは、第9期計画の見込みが実績を上回っていた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仮にこの6件を令和6・7年度の平均（計1,579千円／年）で立てると、総給付費は3か年で4,737千円（0.55%）増え、算定上の月額は約30円上がります（ワークシートの総給付費1千円あたりの月額で換算した試算）。</w:t>
      </w:r>
    </w:p>
    <w:p>
      <w:pPr>
        <w:spacing w:after="120" w:line="300" w:lineRule="exact"/>
      </w:pPr>
      <w:r>
        <w:rPr>
          <w:rFonts w:ascii="BIZ UDPゴシック" w:cs="BIZ UDPゴシック" w:eastAsia="BIZ UDPゴシック" w:hAnsi="BIZ UDPゴシック"/>
          <w:sz w:val="21"/>
          <w:szCs w:val="21"/>
        </w:rPr>
        <w:t xml:space="preserve">■ 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策定の過程で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-1）。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策定の過程で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策定の過程で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策定の過程からは案を示すにとどめ、どの水準を採るかは第2回策定委員会にお諮りします。上表の第11期の値は策定の過程で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独自の検算（国の推計ワークシートの受領前の算定）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策定の過程でワークシートの受領前に令和5年度決算を基礎として算定した検算であり、採用値ではありません。第1号被保険者数も独自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では23%（第9期と同じ）が置かれています。正式には政令で定まります（6-1）。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策定の過程で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独自の検算による保険料月額の12パターンと条例上の基準額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出典：独自の検算（令和5年度決算を基礎とした算定）による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編集注記：参考として、独自の検算（本節の「参考　独自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一方で、第11段階から第13段階までは合わせて20人（2.0%）と、高所得の段階に該当する方は多くありません。段階の多段階化による負担の再配分には限りがあります。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編集注記：第11段階から第13段階までは、段階ごとの人数が10人未満の段階を含むため、合わせて掲げています（本計画の集計の公表基準による）。</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策定の過程で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策定の過程で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国の推計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独自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独自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村からの確認中</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独自の算定との突合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本計画は、国の推計ワークシートの値を正とします。あわせて、ワークシートの提供を受ける前に策定の過程で2つの方法で算定した値を検算として掲げます。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策定の過程で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独自の算定との突合</w:t>
      </w:r>
    </w:p>
    <w:p>
      <w:pPr>
        <w:spacing w:after="120" w:line="300" w:lineRule="exact"/>
      </w:pPr>
      <w:r>
        <w:rPr>
          <w:rFonts w:ascii="BIZ UDPゴシック" w:cs="BIZ UDPゴシック" w:eastAsia="BIZ UDPゴシック" w:hAnsi="BIZ UDPゴシック"/>
          <w:sz w:val="21"/>
          <w:szCs w:val="21"/>
        </w:rPr>
        <w:t xml:space="preserve">策定の過程では、前期高齢者・後期高齢者それぞれの要介護度別認定率（令和6年度から令和8年度までの3か年平均）を5-2の被保険者数に乗じて算定していました。用いた認定率は次のとおりです。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策定の過程での認定率を国の内訳（5-2）にそのまま乗じると、令和9年度220人・令和10年度224人・令和11年度228人となり、独自の検算の値（214人・217人・220人）よりさらに高くなります。第1号被保険者数に対する認定率は、国が令和9年度20.7%・令和10年度21.1%・令和11年度21.1%であるのに対し、独自の検算は同じ順に21.3%・21.7%・22.1%です。国は要介護度別の実績の推移から直接見込んでおり、要介護2が令和8年度30人から令和9年度24人へ下がるなど、直近の動きをそのまま反映しています。策定の過程で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認知症対応型共同生活介護は県の整備量見込みシートの値です。同じく村が県に提出した国の推計ワークシート（給付費の推計）では、令和9〜11年度が27人・28人・29人となっており、1〜2人の差があります。村内の定員は27人であり、これを超える分は村外の施設の利用にあたります。給付費・保険料はワークシートの値で算定されています。どちらの値にそろえるかを村に確認します。また、村内の定員に対する到達率は事業所の稼働率ではなく、本村の被保険者の利用者数を村内の定員で割ったものです（村内の事業所の利用者には他市町村の被保険者が含まれ、本村の被保険者には村外の事業所の利用者が含まれます。2-4）。</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改正法により新設される区分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新たな区分が設けられます（1-7）。施行期日は区分ごとに異なり、特定地域サービス・特定地域居宅サービス等事業は令和9年4月1日、登録施設介護支援・登録施設介護予防支援は公布後3年以内に政令で定める日です。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有料老人ホームの登録制に伴う区分（公布後3年以内に政令で定める日から）。村内に該当施設なし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人員配置基準を弾力化した類型（令和9年4月1日から）。活用の意向を確認中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独自の算定による値です（令和8年度は独自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の令和22年の値は、生産年齢人口と同じ比で減ると置いた場合の1通りです。置き方を変えると、①令和7年の29.0人のまま保つ場合は29.0人、②令和3年から令和7年までの実績の減り方（年率▲1.0%）が続く場合は24.9人、③生産年齢人口と同じ比で減る場合は18.7人となります。採用・離職・村外からの通勤・配置基準の見直しは織り込んでいません。事業所ごとの採用・退職・待機の状況を把握したうえで見直します（施策4-5）。なお、従事者数の掲載がない年は前年の値で補っています（2-4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独自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国の推計ワークシートによる基準額は月額5,513.72円（取崩しなしでは6,610.55円）（5-1）。独自の検算（上記の据え置きを前提）では取崩しなし6,756円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国の推計ワークシートの見込交付割合は5.36%・5.03%・4.67%で、第9期計画から復元した4.10〜4.32%を上回ります（5-1）。増加するかは交付割合が確定した時点で確認します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から第13段階までが合わせて20人と高所得層が極端に薄い構造です。多段階化により高所得層から財源を確保することには限界があり、保険料の引上げは低所得層に重く効きます。5-1の12パターンで示した1,405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出典：国立社会保障・人口問題研究所「日本の地域別将来推計人口（令和5年推計）」（各年10月1日、国勢調査を基礎とする）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1123"/>
        <w:gridCol w:w="1872"/>
        <w:gridCol w:w="1498"/>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出どころ・基礎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本計画での用途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国立社会保障・人口問題研究所（国勢調査を基礎）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各年10月1日</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総人口・年齢別人口（65歳以上人口を含む）</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上表・3-1（人口の見通し）</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第1号被保険者数（国の推計ワークシート）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厚生労働省の配布データ（住民基本台帳を基礎）を村が補正</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第1号被保険者（住所地特例の方を含む）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5-2以降の見込量・給付費・保険料と下の中長期の推計（採用）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独自の認定者数の推計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前期・後期高齢者別の要介護度別認定率による検算</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第1号被保険者の認定者</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下の「参考」の感度分析（採用値ではない）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22年の高齢者人口（上表）と令和22年度の第1号被保険者数（下の国の推計ワークシートの表）は、基礎となる統計と対象が異なるため一致しません（3-1・5-1）。中長期の給付費・保険料の推計は、第10期の算定と同じ国の推計ワークシートの系列によります。</w:t>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策定の過程で国の式により復元を試みたところ、令和17年度0.8604・令和22年度0.7459となり、ワークシートの値（0.9753・0.7790）と一致しませんでした。算出に用いる加入割合の時点または区分の取り方が策定の過程で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独自の算定による感度分析（認定者数が減る系列）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策定の過程で国の推計ワークシートの受領前に算定した系列であり、採用値ではありません。国の系列と向きが逆になり、令和22年度の認定者数は国の228人に対し策定の過程では193人です。差の理由は2つあります。一つは第1号被保険者数の見込みで、令和22年度に国845人・策定の過程814人と、策定の過程で75歳以上を少なく見込んでいます。もう一つは認定率の置き方で、策定の過程で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算定は、独自の認定者数の推計（令和17年・令和22年まで算定）に、5-2の受給率と1人あたり給付月額を固定して乗じる方法によります。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独自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独自の検算（3か年の平均・α23%・基金取崩なし6,756円）と29円異なります。5-1の検算が3か年をまとめて算定しているのに対し、ここでは最終年度である令和11年度の単年で算定しているためです。いずれも独自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1日に施行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要介護度の変化を層別にみる指標（交付金の得点とは別に村が把握するもの）</w:t>
      </w:r>
    </w:p>
    <w:p>
      <w:pPr>
        <w:spacing w:after="120" w:line="300" w:lineRule="exact"/>
      </w:pPr>
      <w:r>
        <w:rPr>
          <w:rFonts w:ascii="BIZ UDPゴシック" w:cs="BIZ UDPゴシック" w:eastAsia="BIZ UDPゴシック" w:hAnsi="BIZ UDPゴシック"/>
          <w:sz w:val="21"/>
          <w:szCs w:val="21"/>
        </w:rPr>
        <w:t xml:space="preserve">交付金の成果指標の得点は国の統計から算定され、要介護3〜5の方の2指標が0点であっても、それだけで状態が悪化したとは言えません。重度化の防止の成果を村として確かめるため、認定の更新の前後で同じ方の状態の変化をみる指標を、要介護度の層ごとに置きます。目標値は令和7・8年度の実績を把握したうえで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685"/>
        <w:gridCol w:w="2995"/>
        <w:gridCol w:w="2434"/>
        <w:gridCol w:w="93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分子・分母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観察と除外</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改善・維持・悪化の割合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更新認定で要介護度が下がった（非該当を含む）・同じ・上がった人数 ÷ 更新認定を受けた人数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前回認定から更新までの期間。死亡・転出・更新の申請なしは分母から除き、件数を別に記録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同上（施設入所の有無を併記）</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出典：要介護認定の更新データ（村）。年度ごとに集計し、人数が10人未満の層は割合を掲げず件数の有無のみを記録します。</w:t>
      </w:r>
    </w:p>
    <w:p>
      <w:pPr>
        <w:spacing w:after="120" w:line="300" w:lineRule="exact"/>
      </w:pPr>
      <w:r>
        <w:rPr>
          <w:rFonts w:ascii="BIZ UDPゴシック" w:cs="BIZ UDPゴシック" w:eastAsia="BIZ UDPゴシック" w:hAnsi="BIZ UDPゴシック"/>
          <w:sz w:val="21"/>
          <w:szCs w:val="21"/>
        </w:rPr>
        <w:t xml:space="preserve">■ 実績が0件のとき・対象がないときの扱い</w:t>
      </w:r>
    </w:p>
    <w:p>
      <w:pPr>
        <w:spacing w:after="120" w:line="300" w:lineRule="exact"/>
      </w:pPr>
      <w:r>
        <w:rPr>
          <w:rFonts w:ascii="BIZ UDPゴシック" w:cs="BIZ UDPゴシック" w:eastAsia="BIZ UDPゴシック" w:hAnsi="BIZ UDPゴシック"/>
          <w:sz w:val="21"/>
          <w:szCs w:val="21"/>
        </w:rPr>
        <w:t xml:space="preserve">指標の実績が0のときは、次の3つを区別して記録します。①対象はあったが実績が0（例：申立ての必要な方がいたが市町村長申立てが0件）は「実績0」とし、目標に対して未達・達成を判断します。②分母となる対象がない（例：該当する事業所が村内にない、該当する方がいない）は「非該当」とし、達成・未達の判断から外します。③データが得られない（例：国の集計の未公表、記録の欠落）は「欠測」とし、0とは書きません。各指標の区分は進捗の評価の際に策定委員会に報告します（6-1）。</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また、得点と順位は交付額そのものや施策全体の良否を直接示すものではありません。目標の中心は、上表の各項目の取組を実施し記録を残すことに置きま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計画策定に伴う調査・分析の実施で取得をめざせる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計画策定に伴う調査・分析の実施で取得をめざせ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成果品15の段と上表の4区分は母集団が違い、同じ項目は同じ扱いである。成果品15の段Ｂ（9点）は上表の計画の策定の4点に認知症施策推進計画の策定5点を、段Ｃ（39点）は上表の条件付きの33点に32項目の外の6点（庁内・庁外における連携体制のエ）を加えたもの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可能性が高いものの、それだけで見直しが不要とはいえません。一方、これを超える乖離は、推計の前提が実態と合っていない可能性を示します。下表の幅は、見直しの要否を判断するための暫定的な確認の目安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ただし、11.9%は過去4回の推計の誤差（＋12.4%・＋6.9%・＋0.5%・▲28.0%）の平均であり、最大では28%の誤差がありました。基金で吸収できるかどうかは、乖離の大きさに加え、続く期間と基金の残高によって決まります。目安の幅の中であっても、乖離の要因（サービスの撤退、要介護度の偏り等）は毎年度点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独自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2026-10-24T21:44:13.461Z</dcterms:created>
  <dcterms:modified xsi:type="dcterms:W3CDTF">2026-10-24T21:44:13.462Z</dcterms:modified>
</cp:coreProperties>
</file>

<file path=docProps/custom.xml><?xml version="1.0" encoding="utf-8"?>
<Properties xmlns="http://schemas.openxmlformats.org/officeDocument/2006/custom-properties" xmlns:vt="http://schemas.openxmlformats.org/officeDocument/2006/docPropsVTypes"/>
</file>