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130件（条件付き56件・送付44件・内部保管25件・対象外5件）と計画素案（942段落145表36図）です。ビルドスクリプトは128本あり、うち39本が自らの計算を検算する自己点検を備えています（計650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自己点検を備えたスクリプト（39本・計650件）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build_receipt_mieru_kekka.py</w:t>
            </w:r>
          </w:p>
        </w:tc>
        <w:tc>
          <w:tcPr>
            <w:tcW w:type="dxa" w:w="907"/>
            <w:shd w:val="clear" w:color="auto" w:fill="F2F5FA"/>
            <w:vAlign w:val="center"/>
          </w:tcPr>
          <w:p>
            <w:pPr>
              <w:spacing w:after="0"/>
              <w:jc w:val="center"/>
            </w:pPr>
            <w:r>
              <w:rPr>
                <w:rFonts w:ascii="游ゴシック" w:hAnsi="游ゴシック" w:eastAsia="游ゴシック"/>
                <w:b w:val="0"/>
                <w:sz w:val="16"/>
              </w:rPr>
              <w:t>37件</w:t>
            </w:r>
          </w:p>
        </w:tc>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build_kofukin_torimatome.py</w:t>
            </w:r>
          </w:p>
        </w:tc>
        <w:tc>
          <w:tcPr>
            <w:tcW w:type="dxa" w:w="907"/>
            <w:vAlign w:val="center"/>
          </w:tcPr>
          <w:p>
            <w:pPr>
              <w:spacing w:after="0"/>
              <w:jc w:val="center"/>
            </w:pPr>
            <w:r>
              <w:rPr>
                <w:rFonts w:ascii="游ゴシック" w:hAnsi="游ゴシック" w:eastAsia="游ゴシック"/>
                <w:b w:val="0"/>
                <w:sz w:val="16"/>
              </w:rPr>
              <w:t>34件</w:t>
            </w:r>
          </w:p>
        </w:tc>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build_soan_kisai_taihi.py</w:t>
            </w:r>
          </w:p>
        </w:tc>
        <w:tc>
          <w:tcPr>
            <w:tcW w:type="dxa" w:w="907"/>
            <w:shd w:val="clear" w:color="auto" w:fill="F2F5FA"/>
            <w:vAlign w:val="center"/>
          </w:tcPr>
          <w:p>
            <w:pPr>
              <w:spacing w:after="0"/>
              <w:jc w:val="center"/>
            </w:pPr>
            <w:r>
              <w:rPr>
                <w:rFonts w:ascii="游ゴシック" w:hAnsi="游ゴシック" w:eastAsia="游ゴシック"/>
                <w:b w:val="0"/>
                <w:sz w:val="16"/>
              </w:rPr>
              <w:t>33件</w:t>
            </w:r>
          </w:p>
        </w:tc>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build_ikenkokankai.py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build_mieru_mikomi_input.py</w:t>
            </w:r>
          </w:p>
        </w:tc>
        <w:tc>
          <w:tcPr>
            <w:tcW w:type="dxa" w:w="907"/>
            <w:vAlign w:val="center"/>
          </w:tcPr>
          <w:p>
            <w:pPr>
              <w:spacing w:after="0"/>
              <w:jc w:val="center"/>
            </w:pPr>
            <w:r>
              <w:rPr>
                <w:rFonts w:ascii="游ゴシック" w:hAnsi="游ゴシック" w:eastAsia="游ゴシック"/>
                <w:b w:val="0"/>
                <w:sz w:val="16"/>
              </w:rPr>
              <w:t>25件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build_plan_public.py</w:t>
            </w:r>
          </w:p>
        </w:tc>
        <w:tc>
          <w:tcPr>
            <w:tcW w:type="dxa" w:w="907"/>
            <w:shd w:val="clear" w:color="auto" w:fill="F2F5FA"/>
            <w:vAlign w:val="center"/>
          </w:tcPr>
          <w:p>
            <w:pPr>
              <w:spacing w:after="0"/>
              <w:jc w:val="center"/>
            </w:pPr>
            <w:r>
              <w:rPr>
                <w:rFonts w:ascii="游ゴシック" w:hAnsi="游ゴシック" w:eastAsia="游ゴシック"/>
                <w:b w:val="0"/>
                <w:sz w:val="16"/>
              </w:rPr>
              <w:t>19件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build_chiiki_bunseki_comment.py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build_zuhyo_daicho.py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c>
          <w:tcPr>
            <w:tcW w:type="dxa" w:w="3572"/>
            <w:shd w:val="clear" w:color="auto" w:fill="F2F5FA"/>
            <w:vAlign w:val="center"/>
          </w:tcPr>
          <w:p>
            <w:pPr>
              <w:spacing w:after="0"/>
            </w:pPr>
            <w:r>
              <w:rPr>
                <w:rFonts w:ascii="游ゴシック" w:hAnsi="游ゴシック" w:eastAsia="游ゴシック"/>
                <w:sz w:val="16"/>
              </w:rPr>
            </w:r>
          </w:p>
        </w:tc>
        <w:tc>
          <w:tcPr>
            <w:tcW w:type="dxa" w:w="907"/>
            <w:shd w:val="clear" w:color="auto" w:fill="F2F5FA"/>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942段落145表36図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発注者・委員会・住民の目に触れるもの。未確定箇所が151箇所（要協議115・要確認35・要内訳1）残っている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確認事項173件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現在151箇所（要協議115・要確認35・要内訳1）です。うち第6章第4節（施設の見込み）に58箇所（43％）が集中しており、日常生活圏域と必要利用定員総数（確認事項No.88）が決まれば解消します。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自己点検を備えた39本を順に実行し、終了コードが0であることを確かめます。1件でも合わなければ終了コード1で終わり、不適合の内容が表示されます。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再実行できない3本（第2節3）は除いています。自己点検を持たないスクリプトも実行されますが、書き出しに失敗すればやはり0以外で終わります。自己点検を備えた39本は第3節1の表のとおりです。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