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単価の趨勢を見込まないことは＋185〜＋374円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改定率1％あたり月額＋61円。単価の年率1.75％の伸びを見込まないことは月額＋185〜＋3</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**令和8年10月1日に採用し、据え置きを解消した。**要介護度間の比を給付費データ（保険者単位）から採り、水準は総括表</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採用により総給付費（3か年）＋3,213,698円・月額＋2.17円。保険料基準額は6,40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**令和8年10月1日に要介護度別に改め、据え置きを解消した。**従前は要支援・要介護の群でまとめた1人1月あたりで置い</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**令和8年10月1日に確定した。**年齢階級ごとの要介護度の構成を令和7年度末（年報 様式1の5）の実績で固定し、将来</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一律の伸びとの差は月額＋10円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**令和8年10月1日に確定した。**季節補正を行わない。基準年度が12か月の完結年度であるため季節指数の和は12となり</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173件（No.87は「給付費データ集計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