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令和8年9月24日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482段落・52表</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121段落・16表</w:t>
            </w:r>
          </w:p>
        </w:tc>
        <w:tc>
          <w:tcPr>
            <w:tcW w:type="dxa" w:w="794"/>
            <w:shd w:val="clear" w:color="auto" w:fill="F2F5FA"/>
            <w:vAlign w:val="center"/>
          </w:tcPr>
          <w:p>
            <w:pPr>
              <w:spacing w:after="0"/>
              <w:jc w:val="center"/>
            </w:pPr>
            <w:r>
              <w:rPr>
                <w:rFonts w:ascii="游ゴシック" w:hAnsi="游ゴシック" w:eastAsia="游ゴシック"/>
                <w:b w:val="0"/>
                <w:sz w:val="18"/>
              </w:rPr>
              <w:t>21件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896段落143表36図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個票（個人情報）がリポジトリに入っていないか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第2章第4節の表から読む。①②③の内容の比較は第9期計画本文が未受領（No.90）であることを書く</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主要所見は20件で、反映の状況は決定待ち9件・着手可6件・反映済5件です。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報告書の見込量が計画素案と食い違っていた</w:t>
            </w:r>
          </w:p>
        </w:tc>
        <w:tc>
          <w:tcPr>
            <w:tcW w:type="dxa" w:w="2608"/>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12シートが反映状況を持っていなかった</w:t>
            </w:r>
          </w:p>
        </w:tc>
        <w:tc>
          <w:tcPr>
            <w:tcW w:type="dxa" w:w="2608"/>
            <w:shd w:val="clear" w:color="auto" w:fill="F2F5FA"/>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shd w:val="clear" w:color="auto" w:fill="F2F5FA"/>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shd w:val="clear" w:color="auto" w:fill="F2F5FA"/>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vAlign w:val="center"/>
          </w:tcPr>
          <w:p>
            <w:pPr>
              <w:spacing w:after="0"/>
            </w:pPr>
            <w:r>
              <w:rPr>
                <w:rFonts w:ascii="游ゴシック" w:hAnsi="游ゴシック" w:eastAsia="游ゴシック"/>
                <w:b/>
                <w:sz w:val="18"/>
              </w:rPr>
              <w:t>語の有無だけの判定で偽陽性が出た</w:t>
            </w:r>
          </w:p>
        </w:tc>
        <w:tc>
          <w:tcPr>
            <w:tcW w:type="dxa" w:w="2608"/>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vAlign w:val="center"/>
          </w:tcPr>
          <w:p>
            <w:pPr>
              <w:spacing w:after="0"/>
            </w:pPr>
            <w:r>
              <w:rPr>
                <w:rFonts w:ascii="游ゴシック" w:hAnsi="游ゴシック" w:eastAsia="游ゴシック"/>
                <w:b w:val="0"/>
                <w:sz w:val="18"/>
              </w:rPr>
              <w:t>素案全体で語を検索していた</w:t>
            </w:r>
          </w:p>
        </w:tc>
        <w:tc>
          <w:tcPr>
            <w:tcW w:type="dxa" w:w="3175"/>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shd w:val="clear" w:color="auto" w:fill="F2F5FA"/>
            <w:vAlign w:val="center"/>
          </w:tcPr>
          <w:p>
            <w:pPr>
              <w:spacing w:after="0"/>
            </w:pPr>
            <w:r>
              <w:rPr>
                <w:rFonts w:ascii="游ゴシック" w:hAnsi="游ゴシック" w:eastAsia="游ゴシック"/>
                <w:b/>
                <w:sz w:val="18"/>
              </w:rPr>
              <w:t>過去の時点の報告が現時点の値を読んでいた</w:t>
            </w:r>
          </w:p>
        </w:tc>
        <w:tc>
          <w:tcPr>
            <w:tcW w:type="dxa" w:w="2608"/>
            <w:shd w:val="clear" w:color="auto" w:fill="F2F5FA"/>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shd w:val="clear" w:color="auto" w:fill="F2F5FA"/>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shd w:val="clear" w:color="auto" w:fill="F2F5FA"/>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vAlign w:val="center"/>
          </w:tcPr>
          <w:p>
            <w:pPr>
              <w:spacing w:after="0"/>
            </w:pPr>
            <w:r>
              <w:rPr>
                <w:rFonts w:ascii="游ゴシック" w:hAnsi="游ゴシック" w:eastAsia="游ゴシック"/>
                <w:b/>
                <w:sz w:val="18"/>
              </w:rPr>
              <w:t>禁止表現が残っていた</w:t>
            </w:r>
          </w:p>
        </w:tc>
        <w:tc>
          <w:tcPr>
            <w:tcW w:type="dxa" w:w="2608"/>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vAlign w:val="center"/>
          </w:tcPr>
          <w:p>
            <w:pPr>
              <w:spacing w:after="0"/>
            </w:pPr>
            <w:r>
              <w:rPr>
                <w:rFonts w:ascii="游ゴシック" w:hAnsi="游ゴシック" w:eastAsia="游ゴシック"/>
                <w:b w:val="0"/>
                <w:sz w:val="18"/>
              </w:rPr>
              <w:t>根拠として「整合する」を使っていた</w:t>
            </w:r>
          </w:p>
        </w:tc>
        <w:tc>
          <w:tcPr>
            <w:tcW w:type="dxa" w:w="3175"/>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 xml:space="preserve">docx が Markdown を解釈せず </w:t>
            </w:r>
            <w:r>
              <w:rPr>
                <w:rFonts w:ascii="游ゴシック" w:hAnsi="游ゴシック" w:eastAsia="游ゴシック"/>
                <w:b/>
                <w:sz w:val="18"/>
              </w:rPr>
              <w:t xml:space="preserve"> が本文に出た</w:t>
            </w:r>
          </w:p>
        </w:tc>
        <w:tc>
          <w:tcPr>
            <w:tcW w:type="dxa" w:w="2608"/>
            <w:shd w:val="clear" w:color="auto" w:fill="F2F5FA"/>
            <w:vAlign w:val="center"/>
          </w:tcPr>
          <w:p>
            <w:pPr>
              <w:spacing w:after="0"/>
            </w:pPr>
            <w:r>
              <w:rPr>
                <w:rFonts w:ascii="游ゴシック" w:hAnsi="游ゴシック" w:eastAsia="游ゴシック"/>
                <w:b w:val="0"/>
                <w:sz w:val="18"/>
              </w:rPr>
              <w:t>強調のつもりで書いた `</w:t>
            </w:r>
            <w:r>
              <w:rPr>
                <w:rFonts w:ascii="游ゴシック" w:hAnsi="游ゴシック" w:eastAsia="游ゴシック"/>
                <w:b/>
                <w:sz w:val="18"/>
              </w:rPr>
              <w:t>` がそのまま印字されていた</w:t>
            </w:r>
          </w:p>
        </w:tc>
        <w:tc>
          <w:tcPr>
            <w:tcW w:type="dxa" w:w="2041"/>
            <w:shd w:val="clear" w:color="auto" w:fill="F2F5FA"/>
            <w:vAlign w:val="center"/>
          </w:tcPr>
          <w:p>
            <w:pPr>
              <w:spacing w:after="0"/>
            </w:pPr>
            <w:r>
              <w:rPr>
                <w:rFonts w:ascii="游ゴシック" w:hAnsi="游ゴシック" w:eastAsia="游ゴシック"/>
                <w:b w:val="0"/>
                <w:sz w:val="18"/>
              </w:rPr>
              <w:t>python-docx は Markdown を解釈しない</w:t>
            </w:r>
          </w:p>
        </w:tc>
        <w:tc>
          <w:tcPr>
            <w:tcW w:type="dxa" w:w="3175"/>
            <w:shd w:val="clear" w:color="auto" w:fill="F2F5FA"/>
            <w:vAlign w:val="center"/>
          </w:tcPr>
          <w:p>
            <w:pPr>
              <w:spacing w:after="0"/>
            </w:pPr>
            <w:r>
              <w:rPr>
                <w:rFonts w:ascii="游ゴシック" w:hAnsi="游ゴシック" w:eastAsia="游ゴシック"/>
                <w:b w:val="0"/>
                <w:sz w:val="18"/>
              </w:rPr>
              <w:t>`_runs()` で `</w:t>
            </w:r>
            <w:r>
              <w:rPr>
                <w:rFonts w:ascii="游ゴシック" w:hAnsi="游ゴシック" w:eastAsia="游ゴシック"/>
                <w:b/>
                <w:sz w:val="18"/>
              </w:rPr>
              <w:t>` を分割して太字の run にする。段落・箇条書き・表のセルの全てを通す</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末尾の2件は本書と同時に作った9月業務報告で起きたものです。</w:t>
      </w:r>
      <w:r>
        <w:rPr>
          <w:rFonts w:ascii="游ゴシック" w:hAnsi="游ゴシック" w:eastAsia="游ゴシック"/>
          <w:b w:val="0"/>
          <w:sz w:val="21"/>
        </w:rPr>
        <w:t>1件は自己点検（「測定済み」の区分があること）が不適合になったことで、もう1件は再レビューで表を読み直したことで気づきました。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21件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20件＝着手可6＋反映済5＋決定待ち9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896段落143表36図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8件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