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令和8年9月11日に年報（令和7年度）の要介護度別の明細を収めたことにより、これまで定性的な留保にとどまっていたものを大きさと向きを伴う測定値にすることができました（第6節）。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年報（令和7年度）の要介護度別の明細を収め、調査の結果と保険者の実績を突き合わせた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調査①の要介護度分布が在宅の認定者の分布と食い違うことをχ²＝43.5（自由度6・1％点16.81）として測定した。施設の在籍者と保険者の受給者は数える対象が異なることを確定した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計画素案（896段落143表36図）</w:t>
            </w:r>
          </w:p>
        </w:tc>
        <w:tc>
          <w:tcPr>
            <w:tcW w:type="dxa" w:w="3855"/>
            <w:vAlign w:val="center"/>
          </w:tcPr>
          <w:p>
            <w:pPr>
              <w:spacing w:after="0"/>
            </w:pPr>
            <w:r>
              <w:rPr>
                <w:rFonts w:ascii="游ゴシック" w:hAnsi="游ゴシック" w:eastAsia="游ゴシック"/>
                <w:b w:val="0"/>
                <w:sz w:val="18"/>
              </w:rPr>
              <w:t>第2章第4節は4段落・表1から30段落・表8になった。集計値は data_survey_jages.py に収め、個票は収録していない</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10シートの見込量が計画素案 第6章と食い違っていたものを是正した。χ²と在籍・受給の差を留保一覧と課題整理に収めた。計画本文への反映状況を素案の実物を読んで判定する形に改めた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本報告書及び社内点検用の資料を作成した</w:t>
            </w:r>
          </w:p>
        </w:tc>
        <w:tc>
          <w:tcPr>
            <w:tcW w:type="dxa" w:w="2381"/>
            <w:vAlign w:val="center"/>
          </w:tcPr>
          <w:p>
            <w:pPr>
              <w:spacing w:after="0"/>
            </w:pPr>
            <w:r>
              <w:rPr>
                <w:rFonts w:ascii="游ゴシック" w:hAnsi="游ゴシック" w:eastAsia="游ゴシック"/>
                <w:b w:val="0"/>
                <w:sz w:val="18"/>
              </w:rPr>
              <w:t>本書／アンケート分析 点検箇所と手順（社内用）</w:t>
            </w:r>
          </w:p>
        </w:tc>
        <w:tc>
          <w:tcPr>
            <w:tcW w:type="dxa" w:w="3855"/>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spacing w:after="0"/>
            </w:pPr>
            <w:r>
              <w:rPr>
                <w:rFonts w:ascii="游ゴシック" w:hAnsi="游ゴシック" w:eastAsia="游ゴシック"/>
                <w:b/>
                <w:sz w:val="18"/>
              </w:rPr>
              <w:t>①健康とくらしの調査（JAGES）の集計・分析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調査クロス集計・分析（24シート）</w:t>
            </w:r>
          </w:p>
        </w:tc>
        <w:tc>
          <w:tcPr>
            <w:tcW w:type="dxa" w:w="3515"/>
            <w:vAlign w:val="center"/>
          </w:tcPr>
          <w:p>
            <w:pPr>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spacing w:after="0"/>
            </w:pPr>
            <w:r>
              <w:rPr>
                <w:rFonts w:ascii="游ゴシック" w:hAnsi="游ゴシック" w:eastAsia="游ゴシック"/>
                <w:b/>
                <w:sz w:val="18"/>
              </w:rPr>
              <w:t>②在宅生活改善調査の集計・分析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02シート</w:t>
            </w:r>
          </w:p>
        </w:tc>
        <w:tc>
          <w:tcPr>
            <w:tcW w:type="dxa" w:w="3515"/>
            <w:vAlign w:val="center"/>
          </w:tcPr>
          <w:p>
            <w:pPr>
              <w:spacing w:after="0"/>
            </w:pPr>
            <w:r>
              <w:rPr>
                <w:rFonts w:ascii="游ゴシック" w:hAnsi="游ゴシック" w:eastAsia="游ゴシック"/>
                <w:b w:val="0"/>
                <w:sz w:val="18"/>
              </w:rPr>
              <w:t>第6節1。母集団の偏りを測定した（χ²＝43.5）</w:t>
            </w:r>
          </w:p>
        </w:tc>
      </w:tr>
      <w:tr>
        <w:trPr>
          <w:cantSplit/>
        </w:trPr>
        <w:tc>
          <w:tcPr>
            <w:tcW w:type="dxa" w:w="2721"/>
            <w:shd w:val="clear" w:color="auto" w:fill="F2F5FA"/>
            <w:vAlign w:val="center"/>
          </w:tcPr>
          <w:p>
            <w:pPr>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spacing w:after="0"/>
            </w:pPr>
            <w:r>
              <w:rPr>
                <w:rFonts w:ascii="游ゴシック" w:hAnsi="游ゴシック" w:eastAsia="游ゴシック"/>
                <w:b/>
                <w:sz w:val="18"/>
              </w:rPr>
              <w:t>④介護人材実態調査の集計・分析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04シート</w:t>
            </w:r>
          </w:p>
        </w:tc>
        <w:tc>
          <w:tcPr>
            <w:tcW w:type="dxa" w:w="3515"/>
            <w:vAlign w:val="center"/>
          </w:tcPr>
          <w:p>
            <w:pPr>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spacing w:after="0"/>
              <w:jc w:val="center"/>
            </w:pPr>
            <w:r>
              <w:rPr>
                <w:rFonts w:ascii="游ゴシック" w:hAnsi="游ゴシック" w:eastAsia="游ゴシック"/>
                <w:b w:val="0"/>
                <w:sz w:val="18"/>
              </w:rPr>
              <w:t>行わない</w:t>
            </w:r>
          </w:p>
        </w:tc>
        <w:tc>
          <w:tcPr>
            <w:tcW w:type="dxa" w:w="2608"/>
            <w:shd w:val="clear" w:color="auto" w:fill="F2F5FA"/>
            <w:vAlign w:val="center"/>
          </w:tcPr>
          <w:p>
            <w:pPr>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spacing w:before="28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spacing w:after="0"/>
            </w:pPr>
            <w:r>
              <w:rPr>
                <w:rFonts w:ascii="游ゴシック" w:hAnsi="游ゴシック" w:eastAsia="游ゴシック"/>
                <w:b/>
                <w:sz w:val="18"/>
              </w:rPr>
              <w:t>① 事業所票</w:t>
            </w:r>
          </w:p>
        </w:tc>
        <w:tc>
          <w:tcPr>
            <w:tcW w:type="dxa" w:w="1020"/>
            <w:vAlign w:val="center"/>
          </w:tcPr>
          <w:p>
            <w:pPr>
              <w:spacing w:after="0"/>
            </w:pPr>
            <w:r>
              <w:rPr>
                <w:rFonts w:ascii="游ゴシック" w:hAnsi="游ゴシック" w:eastAsia="游ゴシック"/>
                <w:b w:val="0"/>
                <w:sz w:val="18"/>
              </w:rPr>
              <w:t>15件</w:t>
            </w:r>
          </w:p>
        </w:tc>
        <w:tc>
          <w:tcPr>
            <w:tcW w:type="dxa" w:w="2154"/>
            <w:vAlign w:val="center"/>
          </w:tcPr>
          <w:p>
            <w:pPr>
              <w:spacing w:after="0"/>
            </w:pPr>
            <w:r>
              <w:rPr>
                <w:rFonts w:ascii="游ゴシック" w:hAnsi="游ゴシック" w:eastAsia="游ゴシック"/>
                <w:b w:val="0"/>
                <w:sz w:val="18"/>
              </w:rPr>
              <w:t>居宅介護支援13・小規模多機能5・地域包括2</w:t>
            </w:r>
          </w:p>
        </w:tc>
        <w:tc>
          <w:tcPr>
            <w:tcW w:type="dxa" w:w="2041"/>
            <w:vAlign w:val="center"/>
          </w:tcPr>
          <w:p>
            <w:pPr>
              <w:spacing w:after="0"/>
            </w:pPr>
            <w:r>
              <w:rPr>
                <w:rFonts w:ascii="游ゴシック" w:hAnsi="游ゴシック" w:eastAsia="游ゴシック"/>
                <w:b w:val="0"/>
                <w:sz w:val="18"/>
              </w:rPr>
              <w:t>居宅介護支援10・小規模多機能3・地域包括2</w:t>
            </w:r>
          </w:p>
        </w:tc>
        <w:tc>
          <w:tcPr>
            <w:tcW w:type="dxa" w:w="2494"/>
            <w:vAlign w:val="center"/>
          </w:tcPr>
          <w:p>
            <w:pPr>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① 利用者票</w:t>
            </w:r>
          </w:p>
        </w:tc>
        <w:tc>
          <w:tcPr>
            <w:tcW w:type="dxa" w:w="1020"/>
            <w:shd w:val="clear" w:color="auto" w:fill="F2F5FA"/>
            <w:vAlign w:val="center"/>
          </w:tcPr>
          <w:p>
            <w:pPr>
              <w:spacing w:after="0"/>
            </w:pPr>
            <w:r>
              <w:rPr>
                <w:rFonts w:ascii="游ゴシック" w:hAnsi="游ゴシック" w:eastAsia="游ゴシック"/>
                <w:b w:val="0"/>
                <w:sz w:val="18"/>
              </w:rPr>
              <w:t>99票</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10事業所から提出</w:t>
            </w:r>
          </w:p>
        </w:tc>
        <w:tc>
          <w:tcPr>
            <w:tcW w:type="dxa" w:w="2494"/>
            <w:shd w:val="clear" w:color="auto" w:fill="F2F5FA"/>
            <w:vAlign w:val="center"/>
          </w:tcPr>
          <w:p>
            <w:pPr>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spacing w:after="0"/>
            </w:pPr>
            <w:r>
              <w:rPr>
                <w:rFonts w:ascii="游ゴシック" w:hAnsi="游ゴシック" w:eastAsia="游ゴシック"/>
                <w:b/>
                <w:sz w:val="18"/>
              </w:rPr>
              <w:t>② 施設等票</w:t>
            </w:r>
          </w:p>
        </w:tc>
        <w:tc>
          <w:tcPr>
            <w:tcW w:type="dxa" w:w="1020"/>
            <w:vAlign w:val="center"/>
          </w:tcPr>
          <w:p>
            <w:pPr>
              <w:spacing w:after="0"/>
            </w:pPr>
            <w:r>
              <w:rPr>
                <w:rFonts w:ascii="游ゴシック" w:hAnsi="游ゴシック" w:eastAsia="游ゴシック"/>
                <w:b w:val="0"/>
                <w:sz w:val="18"/>
              </w:rPr>
              <w:t>18件</w:t>
            </w:r>
          </w:p>
        </w:tc>
        <w:tc>
          <w:tcPr>
            <w:tcW w:type="dxa" w:w="2154"/>
            <w:vAlign w:val="center"/>
          </w:tcPr>
          <w:p>
            <w:pPr>
              <w:spacing w:after="0"/>
            </w:pPr>
            <w:r>
              <w:rPr>
                <w:rFonts w:ascii="游ゴシック" w:hAnsi="游ゴシック" w:eastAsia="游ゴシック"/>
                <w:b w:val="0"/>
                <w:sz w:val="18"/>
              </w:rPr>
              <w:t>介護保険の指定施設19＋介護保険外の住まい12＝31</w:t>
            </w:r>
          </w:p>
        </w:tc>
        <w:tc>
          <w:tcPr>
            <w:tcW w:type="dxa" w:w="2041"/>
            <w:vAlign w:val="center"/>
          </w:tcPr>
          <w:p>
            <w:pPr>
              <w:spacing w:after="0"/>
            </w:pPr>
            <w:r>
              <w:rPr>
                <w:rFonts w:ascii="游ゴシック" w:hAnsi="游ゴシック" w:eastAsia="游ゴシック"/>
                <w:b w:val="0"/>
                <w:sz w:val="18"/>
              </w:rPr>
              <w:t>指定施設14・介護保険外4</w:t>
            </w:r>
          </w:p>
        </w:tc>
        <w:tc>
          <w:tcPr>
            <w:tcW w:type="dxa" w:w="2494"/>
            <w:vAlign w:val="center"/>
          </w:tcPr>
          <w:p>
            <w:pPr>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spacing w:after="0"/>
            </w:pPr>
            <w:r>
              <w:rPr>
                <w:rFonts w:ascii="游ゴシック" w:hAnsi="游ゴシック" w:eastAsia="游ゴシック"/>
                <w:b/>
                <w:sz w:val="18"/>
              </w:rPr>
              <w:t>③ 事業所票（施設・通所系）</w:t>
            </w:r>
          </w:p>
        </w:tc>
        <w:tc>
          <w:tcPr>
            <w:tcW w:type="dxa" w:w="1020"/>
            <w:shd w:val="clear" w:color="auto" w:fill="F2F5FA"/>
            <w:vAlign w:val="center"/>
          </w:tcPr>
          <w:p>
            <w:pPr>
              <w:spacing w:after="0"/>
            </w:pPr>
            <w:r>
              <w:rPr>
                <w:rFonts w:ascii="游ゴシック" w:hAnsi="游ゴシック" w:eastAsia="游ゴシック"/>
                <w:b w:val="0"/>
                <w:sz w:val="18"/>
              </w:rPr>
              <w:t>24件</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w:t>
            </w:r>
          </w:p>
        </w:tc>
        <w:tc>
          <w:tcPr>
            <w:tcW w:type="dxa" w:w="2494"/>
            <w:shd w:val="clear" w:color="auto" w:fill="F2F5FA"/>
            <w:vAlign w:val="center"/>
          </w:tcPr>
          <w:p>
            <w:pPr>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spacing w:after="0"/>
            </w:pPr>
            <w:r>
              <w:rPr>
                <w:rFonts w:ascii="游ゴシック" w:hAnsi="游ゴシック" w:eastAsia="游ゴシック"/>
                <w:b/>
                <w:sz w:val="18"/>
              </w:rPr>
              <w:t>③ 事業所票（訪問系）</w:t>
            </w:r>
          </w:p>
        </w:tc>
        <w:tc>
          <w:tcPr>
            <w:tcW w:type="dxa" w:w="1020"/>
            <w:vAlign w:val="center"/>
          </w:tcPr>
          <w:p>
            <w:pPr>
              <w:spacing w:after="0"/>
            </w:pPr>
            <w:r>
              <w:rPr>
                <w:rFonts w:ascii="游ゴシック" w:hAnsi="游ゴシック" w:eastAsia="游ゴシック"/>
                <w:b w:val="0"/>
                <w:sz w:val="18"/>
              </w:rPr>
              <w:t>3件</w:t>
            </w:r>
          </w:p>
        </w:tc>
        <w:tc>
          <w:tcPr>
            <w:tcW w:type="dxa" w:w="2154"/>
            <w:vAlign w:val="center"/>
          </w:tcPr>
          <w:p>
            <w:pPr>
              <w:spacing w:after="0"/>
            </w:pPr>
            <w:r>
              <w:rPr>
                <w:rFonts w:ascii="游ゴシック" w:hAnsi="游ゴシック" w:eastAsia="游ゴシック"/>
                <w:b w:val="0"/>
                <w:sz w:val="18"/>
              </w:rPr>
              <w:t>訪問介護13事業所（見える化K3a・名簿とも）</w:t>
            </w:r>
          </w:p>
        </w:tc>
        <w:tc>
          <w:tcPr>
            <w:tcW w:type="dxa" w:w="2041"/>
            <w:vAlign w:val="center"/>
          </w:tcPr>
          <w:p>
            <w:pPr>
              <w:spacing w:after="0"/>
            </w:pPr>
            <w:r>
              <w:rPr>
                <w:rFonts w:ascii="游ゴシック" w:hAnsi="游ゴシック" w:eastAsia="游ゴシック"/>
                <w:b w:val="0"/>
                <w:sz w:val="18"/>
              </w:rPr>
              <w:t>回収率23.1％</w:t>
            </w:r>
          </w:p>
        </w:tc>
        <w:tc>
          <w:tcPr>
            <w:tcW w:type="dxa" w:w="2494"/>
            <w:vAlign w:val="center"/>
          </w:tcPr>
          <w:p>
            <w:pPr>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spacing w:after="0"/>
            </w:pPr>
            <w:r>
              <w:rPr>
                <w:rFonts w:ascii="游ゴシック" w:hAnsi="游ゴシック" w:eastAsia="游ゴシック"/>
                <w:b/>
                <w:sz w:val="18"/>
              </w:rPr>
              <w:t>③ 職員個票</w:t>
            </w:r>
          </w:p>
        </w:tc>
        <w:tc>
          <w:tcPr>
            <w:tcW w:type="dxa" w:w="1020"/>
            <w:shd w:val="clear" w:color="auto" w:fill="F2F5FA"/>
            <w:vAlign w:val="center"/>
          </w:tcPr>
          <w:p>
            <w:pPr>
              <w:spacing w:after="0"/>
            </w:pPr>
            <w:r>
              <w:rPr>
                <w:rFonts w:ascii="游ゴシック" w:hAnsi="游ゴシック" w:eastAsia="游ゴシック"/>
                <w:b w:val="0"/>
                <w:sz w:val="18"/>
              </w:rPr>
              <w:t>317人</w:t>
            </w:r>
          </w:p>
        </w:tc>
        <w:tc>
          <w:tcPr>
            <w:tcW w:type="dxa" w:w="2154"/>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spacing w:after="0"/>
            </w:pPr>
            <w:r>
              <w:rPr>
                <w:rFonts w:ascii="游ゴシック" w:hAnsi="游ゴシック" w:eastAsia="游ゴシック"/>
                <w:b w:val="0"/>
                <w:sz w:val="18"/>
              </w:rPr>
              <w:t>99.4％</w:t>
            </w:r>
          </w:p>
        </w:tc>
        <w:tc>
          <w:tcPr>
            <w:tcW w:type="dxa" w:w="2494"/>
            <w:shd w:val="clear" w:color="auto" w:fill="F2F5FA"/>
            <w:vAlign w:val="center"/>
          </w:tcPr>
          <w:p>
            <w:pPr>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spacing w:after="0"/>
            </w:pPr>
            <w:r>
              <w:rPr>
                <w:rFonts w:ascii="游ゴシック" w:hAnsi="游ゴシック" w:eastAsia="游ゴシック"/>
                <w:b/>
                <w:sz w:val="18"/>
              </w:rPr>
              <w:t>③ 職員票（訪問系）</w:t>
            </w:r>
          </w:p>
        </w:tc>
        <w:tc>
          <w:tcPr>
            <w:tcW w:type="dxa" w:w="1020"/>
            <w:vAlign w:val="center"/>
          </w:tcPr>
          <w:p>
            <w:pPr>
              <w:spacing w:after="0"/>
            </w:pPr>
            <w:r>
              <w:rPr>
                <w:rFonts w:ascii="游ゴシック" w:hAnsi="游ゴシック" w:eastAsia="游ゴシック"/>
                <w:b w:val="0"/>
                <w:sz w:val="18"/>
              </w:rPr>
              <w:t>26件</w:t>
            </w:r>
          </w:p>
        </w:tc>
        <w:tc>
          <w:tcPr>
            <w:tcW w:type="dxa" w:w="2154"/>
            <w:vAlign w:val="center"/>
          </w:tcPr>
          <w:p>
            <w:pPr>
              <w:spacing w:after="0"/>
            </w:pPr>
            <w:r>
              <w:rPr>
                <w:rFonts w:ascii="游ゴシック" w:hAnsi="游ゴシック" w:eastAsia="游ゴシック"/>
                <w:b w:val="0"/>
                <w:sz w:val="18"/>
              </w:rPr>
              <w:t>訪問系3事業所の介護職員42人</w:t>
            </w:r>
          </w:p>
        </w:tc>
        <w:tc>
          <w:tcPr>
            <w:tcW w:type="dxa" w:w="2041"/>
            <w:vAlign w:val="center"/>
          </w:tcPr>
          <w:p>
            <w:pPr>
              <w:spacing w:after="0"/>
            </w:pPr>
            <w:r>
              <w:rPr>
                <w:rFonts w:ascii="游ゴシック" w:hAnsi="游ゴシック" w:eastAsia="游ゴシック"/>
                <w:b w:val="0"/>
                <w:sz w:val="18"/>
              </w:rPr>
              <w:t>61.9％</w:t>
            </w:r>
          </w:p>
        </w:tc>
        <w:tc>
          <w:tcPr>
            <w:tcW w:type="dxa" w:w="2494"/>
            <w:vAlign w:val="center"/>
          </w:tcPr>
          <w:p>
            <w:pPr>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val="0"/>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spacing w:after="0"/>
            </w:pPr>
            <w:r>
              <w:rPr>
                <w:rFonts w:ascii="游ゴシック" w:hAnsi="游ゴシック" w:eastAsia="游ゴシック"/>
                <w:b/>
                <w:sz w:val="18"/>
              </w:rPr>
              <w:t>① 在宅生活改善調査</w:t>
            </w:r>
          </w:p>
        </w:tc>
        <w:tc>
          <w:tcPr>
            <w:tcW w:type="dxa" w:w="2835"/>
            <w:vAlign w:val="center"/>
          </w:tcPr>
          <w:p>
            <w:pPr>
              <w:spacing w:after="0"/>
            </w:pPr>
            <w:r>
              <w:rPr>
                <w:rFonts w:ascii="游ゴシック" w:hAnsi="游ゴシック" w:eastAsia="游ゴシック"/>
                <w:b w:val="0"/>
                <w:sz w:val="18"/>
              </w:rPr>
              <w:t>令和5年5月25日送付・12事業所91人</w:t>
            </w:r>
          </w:p>
        </w:tc>
        <w:tc>
          <w:tcPr>
            <w:tcW w:type="dxa" w:w="2608"/>
            <w:vAlign w:val="center"/>
          </w:tcPr>
          <w:p>
            <w:pPr>
              <w:spacing w:after="0"/>
            </w:pPr>
            <w:r>
              <w:rPr>
                <w:rFonts w:ascii="游ゴシック" w:hAnsi="游ゴシック" w:eastAsia="游ゴシック"/>
                <w:b w:val="0"/>
                <w:sz w:val="18"/>
              </w:rPr>
              <w:t>15事業所・利用者票99票</w:t>
            </w:r>
          </w:p>
        </w:tc>
        <w:tc>
          <w:tcPr>
            <w:tcW w:type="dxa" w:w="2381"/>
            <w:vAlign w:val="center"/>
          </w:tcPr>
          <w:p>
            <w:pPr>
              <w:spacing w:after="0"/>
            </w:pPr>
            <w:r>
              <w:rPr>
                <w:rFonts w:ascii="游ゴシック" w:hAnsi="游ゴシック" w:eastAsia="游ゴシック"/>
                <w:b w:val="0"/>
                <w:sz w:val="18"/>
              </w:rPr>
              <w:t>規模のみ。設問と集計区分の一致を確かめられない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② 居所変更実態調査</w:t>
            </w:r>
          </w:p>
        </w:tc>
        <w:tc>
          <w:tcPr>
            <w:tcW w:type="dxa" w:w="2835"/>
            <w:shd w:val="clear" w:color="auto" w:fill="F2F5FA"/>
            <w:vAlign w:val="center"/>
          </w:tcPr>
          <w:p>
            <w:pPr>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spacing w:after="0"/>
            </w:pPr>
            <w:r>
              <w:rPr>
                <w:rFonts w:ascii="游ゴシック" w:hAnsi="游ゴシック" w:eastAsia="游ゴシック"/>
                <w:b w:val="0"/>
                <w:sz w:val="18"/>
              </w:rPr>
              <w:t>18施設（定員652人・入所者536人）</w:t>
            </w:r>
          </w:p>
        </w:tc>
        <w:tc>
          <w:tcPr>
            <w:tcW w:type="dxa" w:w="2381"/>
            <w:shd w:val="clear" w:color="auto" w:fill="F2F5FA"/>
            <w:vAlign w:val="center"/>
          </w:tcPr>
          <w:p>
            <w:pPr>
              <w:spacing w:after="0"/>
            </w:pPr>
            <w:r>
              <w:rPr>
                <w:rFonts w:ascii="游ゴシック" w:hAnsi="游ゴシック" w:eastAsia="游ゴシック"/>
                <w:b w:val="0"/>
                <w:sz w:val="18"/>
              </w:rPr>
              <w:t>規模のみ。回答施設の顔ぶれが異なる</w:t>
            </w:r>
          </w:p>
        </w:tc>
      </w:tr>
      <w:tr>
        <w:trPr>
          <w:cantSplit/>
        </w:trPr>
        <w:tc>
          <w:tcPr>
            <w:tcW w:type="dxa" w:w="1928"/>
            <w:vAlign w:val="center"/>
          </w:tcPr>
          <w:p>
            <w:pPr>
              <w:spacing w:after="0"/>
            </w:pPr>
            <w:r>
              <w:rPr>
                <w:rFonts w:ascii="游ゴシック" w:hAnsi="游ゴシック" w:eastAsia="游ゴシック"/>
                <w:b/>
                <w:sz w:val="18"/>
              </w:rPr>
              <w:t>③ 介護人材実態調査</w:t>
            </w:r>
          </w:p>
        </w:tc>
        <w:tc>
          <w:tcPr>
            <w:tcW w:type="dxa" w:w="2835"/>
            <w:vAlign w:val="center"/>
          </w:tcPr>
          <w:p>
            <w:pPr>
              <w:spacing w:after="0"/>
            </w:pPr>
            <w:r>
              <w:rPr>
                <w:rFonts w:ascii="游ゴシック" w:hAnsi="游ゴシック" w:eastAsia="游ゴシック"/>
                <w:b w:val="0"/>
                <w:sz w:val="18"/>
              </w:rPr>
              <w:t>令和5年5月25日送付・27施設405人</w:t>
            </w:r>
          </w:p>
        </w:tc>
        <w:tc>
          <w:tcPr>
            <w:tcW w:type="dxa" w:w="2608"/>
            <w:vAlign w:val="center"/>
          </w:tcPr>
          <w:p>
            <w:pPr>
              <w:spacing w:after="0"/>
            </w:pPr>
            <w:r>
              <w:rPr>
                <w:rFonts w:ascii="游ゴシック" w:hAnsi="游ゴシック" w:eastAsia="游ゴシック"/>
                <w:b w:val="0"/>
                <w:sz w:val="18"/>
              </w:rPr>
              <w:t>27事業所・職員個票317人・職員票26件</w:t>
            </w:r>
          </w:p>
        </w:tc>
        <w:tc>
          <w:tcPr>
            <w:tcW w:type="dxa" w:w="2381"/>
            <w:vAlign w:val="center"/>
          </w:tcPr>
          <w:p>
            <w:pPr>
              <w:spacing w:after="0"/>
            </w:pPr>
            <w:r>
              <w:rPr>
                <w:rFonts w:ascii="游ゴシック" w:hAnsi="游ゴシック" w:eastAsia="游ゴシック"/>
                <w:b w:val="0"/>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指標の比較ができる</w:t>
            </w:r>
            <w:r>
              <w:rPr>
                <w:rFonts w:ascii="游ゴシック" w:hAnsi="游ゴシック" w:eastAsia="游ゴシック"/>
                <w:b w:val="0"/>
                <w:sz w:val="18"/>
              </w:rPr>
              <w:t>（下表）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spacing w:after="0"/>
              <w:jc w:val="center"/>
            </w:pPr>
            <w:r>
              <w:rPr>
                <w:rFonts w:ascii="游ゴシック" w:hAnsi="游ゴシック" w:eastAsia="游ゴシック"/>
                <w:b/>
                <w:color w:val="FFFFFF"/>
                <w:sz w:val="18"/>
              </w:rPr>
              <w:t>評価</w:t>
            </w:r>
          </w:p>
        </w:tc>
      </w:tr>
      <w:tr>
        <w:trPr>
          <w:cantSplit/>
        </w:trPr>
        <w:tc>
          <w:tcPr>
            <w:tcW w:type="dxa" w:w="2381"/>
            <w:vAlign w:val="center"/>
          </w:tcPr>
          <w:p>
            <w:pPr>
              <w:spacing w:after="0"/>
            </w:pPr>
            <w:r>
              <w:rPr>
                <w:rFonts w:ascii="游ゴシック" w:hAnsi="游ゴシック" w:eastAsia="游ゴシック"/>
                <w:b/>
                <w:sz w:val="18"/>
              </w:rPr>
              <w:t>フレイル該当割合</w:t>
            </w:r>
          </w:p>
        </w:tc>
        <w:tc>
          <w:tcPr>
            <w:tcW w:type="dxa" w:w="1020"/>
            <w:vAlign w:val="center"/>
          </w:tcPr>
          <w:p>
            <w:pPr>
              <w:spacing w:after="0"/>
            </w:pPr>
            <w:r>
              <w:rPr>
                <w:rFonts w:ascii="游ゴシック" w:hAnsi="游ゴシック" w:eastAsia="游ゴシック"/>
                <w:b w:val="0"/>
                <w:sz w:val="18"/>
              </w:rPr>
              <w:t>18.5％</w:t>
            </w:r>
          </w:p>
        </w:tc>
        <w:tc>
          <w:tcPr>
            <w:tcW w:type="dxa" w:w="1020"/>
            <w:vAlign w:val="center"/>
          </w:tcPr>
          <w:p>
            <w:pPr>
              <w:spacing w:after="0"/>
            </w:pPr>
            <w:r>
              <w:rPr>
                <w:rFonts w:ascii="游ゴシック" w:hAnsi="游ゴシック" w:eastAsia="游ゴシック"/>
                <w:b w:val="0"/>
                <w:sz w:val="18"/>
              </w:rPr>
              <w:t>19.1％</w:t>
            </w:r>
          </w:p>
        </w:tc>
        <w:tc>
          <w:tcPr>
            <w:tcW w:type="dxa" w:w="1247"/>
            <w:vAlign w:val="center"/>
          </w:tcPr>
          <w:p>
            <w:pPr>
              <w:spacing w:after="0"/>
            </w:pPr>
            <w:r>
              <w:rPr>
                <w:rFonts w:ascii="游ゴシック" w:hAnsi="游ゴシック" w:eastAsia="游ゴシック"/>
                <w:b w:val="0"/>
                <w:sz w:val="18"/>
              </w:rPr>
              <w:t>18.0％（R7）</w:t>
            </w:r>
          </w:p>
        </w:tc>
        <w:tc>
          <w:tcPr>
            <w:tcW w:type="dxa" w:w="4082"/>
            <w:vAlign w:val="center"/>
          </w:tcPr>
          <w:p>
            <w:pPr>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spacing w:after="0"/>
            </w:pPr>
            <w:r>
              <w:rPr>
                <w:rFonts w:ascii="游ゴシック" w:hAnsi="游ゴシック" w:eastAsia="游ゴシック"/>
                <w:b w:val="0"/>
                <w:sz w:val="18"/>
              </w:rPr>
              <w:t>7.3％</w:t>
            </w:r>
          </w:p>
        </w:tc>
        <w:tc>
          <w:tcPr>
            <w:tcW w:type="dxa" w:w="1020"/>
            <w:shd w:val="clear" w:color="auto" w:fill="F2F5FA"/>
            <w:vAlign w:val="center"/>
          </w:tcPr>
          <w:p>
            <w:pPr>
              <w:spacing w:after="0"/>
            </w:pPr>
            <w:r>
              <w:rPr>
                <w:rFonts w:ascii="游ゴシック" w:hAnsi="游ゴシック" w:eastAsia="游ゴシック"/>
                <w:b w:val="0"/>
                <w:sz w:val="18"/>
              </w:rPr>
              <w:t>8.8％</w:t>
            </w:r>
          </w:p>
        </w:tc>
        <w:tc>
          <w:tcPr>
            <w:tcW w:type="dxa" w:w="1247"/>
            <w:shd w:val="clear" w:color="auto" w:fill="F2F5FA"/>
            <w:vAlign w:val="center"/>
          </w:tcPr>
          <w:p>
            <w:pPr>
              <w:spacing w:after="0"/>
            </w:pPr>
            <w:r>
              <w:rPr>
                <w:rFonts w:ascii="游ゴシック" w:hAnsi="游ゴシック" w:eastAsia="游ゴシック"/>
                <w:b w:val="0"/>
                <w:sz w:val="18"/>
              </w:rPr>
              <w:t>10.0％（R8）</w:t>
            </w:r>
          </w:p>
        </w:tc>
        <w:tc>
          <w:tcPr>
            <w:tcW w:type="dxa" w:w="4082"/>
            <w:shd w:val="clear" w:color="auto" w:fill="F2F5FA"/>
            <w:vAlign w:val="center"/>
          </w:tcPr>
          <w:p>
            <w:pPr>
              <w:spacing w:after="0"/>
            </w:pPr>
            <w:r>
              <w:rPr>
                <w:rFonts w:ascii="游ゴシック" w:hAnsi="游ゴシック" w:eastAsia="游ゴシック"/>
                <w:b w:val="0"/>
                <w:sz w:val="18"/>
              </w:rPr>
              <w:t>自主目標に0.2ポイント未達。ただし統計が国の目標値と異なる（第3章第1節）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val="0"/>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前回の結果は第9期計画の本文に掲載されていますが、本文からは回収票数・回収率を復元できず、第9期計画の本文そのものを受領していないためです（確認事項No.90）。受領できれば、図表集 10〜13シートの前回値と接続します。</w:t>
      </w:r>
    </w:p>
    <w:p>
      <w:pPr>
        <w:ind w:left="227"/>
      </w:pPr>
      <w:r>
        <w:rPr>
          <w:rFonts w:ascii="游ゴシック" w:hAnsi="游ゴシック" w:eastAsia="游ゴシック"/>
          <w:b w:val="0"/>
          <w:sz w:val="18"/>
        </w:rPr>
        <w:t>※ ④も、設問と判定ロジックが前回と同一であることを確認したうえで接続しています。通いの場参加率は国の目標値と統計の取り方が異なるため、計画素案では出所を分けて記述しています。</w:t>
      </w:r>
    </w:p>
    <w:p>
      <w:pPr>
        <w:keepNext/>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令和8年9月15日に、健康とくらしの調査（4,729票）の結果を計画素案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計画素案は現在896段落143表36図です。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集計値は data_survey_jages.py に収めています。</w:t>
      </w:r>
      <w:r>
        <w:rPr>
          <w:rFonts w:ascii="游ゴシック" w:hAnsi="游ゴシック" w:eastAsia="游ゴシック"/>
          <w:b/>
          <w:sz w:val="18"/>
        </w:rPr>
        <w:t>個票は発注者のご指示により収録していません。</w:t>
      </w:r>
      <w:r>
        <w:rPr>
          <w:rFonts w:ascii="游ゴシック" w:hAnsi="游ゴシック" w:eastAsia="游ゴシック"/>
          <w:b w:val="0"/>
          <w:sz w:val="18"/>
        </w:rPr>
        <w:t>個票がなくても計画素案の側は再現できます。</w:t>
      </w:r>
    </w:p>
    <w:p>
      <w:pPr>
        <w:keepNext/>
        <w:spacing w:before="180" w:after="60"/>
      </w:pPr>
      <w:r>
        <w:rPr>
          <w:rFonts w:ascii="游ゴシック" w:hAnsi="游ゴシック" w:eastAsia="游ゴシック"/>
          <w:b/>
          <w:sz w:val="22"/>
        </w:rPr>
        <w:t>計画素案の記述が薄かった3節のうち1節が埋まりました</w:t>
      </w:r>
    </w:p>
    <w:p>
      <w:pPr>
        <w:spacing w:after="80"/>
      </w:pPr>
      <w:r>
        <w:rPr>
          <w:rFonts w:ascii="游ゴシック" w:hAnsi="游ゴシック" w:eastAsia="游ゴシック"/>
          <w:b w:val="0"/>
          <w:sz w:val="21"/>
        </w:rPr>
        <w:t>令和8年9月12日の課題整理で、「書くべき内容がまだ入っていない節」が3節あることをお示ししました。うち第2章第4節は本作業で埋まりました。残る2節（第6章第5節 介護施設整備に係る基本方針、第6章第7節 低所得者支援）は、それぞれ確認事項No.88・No.33のご決定を待っています。</w:t>
      </w:r>
    </w:p>
    <w:p>
      <w:pPr>
        <w:keepNext/>
        <w:spacing w:before="28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令和8年9月11日に年報（令和7年度）の要介護度別の明細を収めたことにより、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χ²＝43.5（自由度6。1％点16.81）で、分布は食い違います。</w:t>
      </w:r>
      <w:r>
        <w:rPr>
          <w:rFonts w:ascii="游ゴシック" w:hAnsi="游ゴシック" w:eastAsia="游ゴシック"/>
          <w:b w:val="0"/>
          <w:sz w:val="21"/>
        </w:rPr>
        <w:t>要介護3が期待6.7人に対し19人（2.8倍）、要支援1が期待18.9人に対し3人（0.16倍）です。ケアマネジャーを通じて在宅で困難を抱える方を集めた調査であり、設計のとおりの結果です。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代表KPI H12（必要サービス未充足率）も同じ母集団の指標になります。計画本文では「調査対象となった98人のうち」と明記します。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1928"/>
            <w:vAlign w:val="center"/>
          </w:tcPr>
          <w:p>
            <w:pPr>
              <w:spacing w:after="0"/>
            </w:pPr>
            <w:r>
              <w:rPr>
                <w:rFonts w:ascii="游ゴシック" w:hAnsi="游ゴシック" w:eastAsia="游ゴシック"/>
                <w:b/>
                <w:sz w:val="18"/>
              </w:rPr>
              <w:t>グループホーム</w:t>
            </w:r>
          </w:p>
        </w:tc>
        <w:tc>
          <w:tcPr>
            <w:tcW w:type="dxa" w:w="1247"/>
            <w:vAlign w:val="center"/>
          </w:tcPr>
          <w:p>
            <w:pPr>
              <w:spacing w:after="0"/>
              <w:jc w:val="center"/>
            </w:pPr>
            <w:r>
              <w:rPr>
                <w:rFonts w:ascii="游ゴシック" w:hAnsi="游ゴシック" w:eastAsia="游ゴシック"/>
                <w:b w:val="0"/>
                <w:sz w:val="18"/>
              </w:rPr>
              <w:t>75</w:t>
            </w:r>
          </w:p>
        </w:tc>
        <w:tc>
          <w:tcPr>
            <w:tcW w:type="dxa" w:w="1361"/>
            <w:vAlign w:val="center"/>
          </w:tcPr>
          <w:p>
            <w:pPr>
              <w:spacing w:after="0"/>
              <w:jc w:val="center"/>
            </w:pPr>
            <w:r>
              <w:rPr>
                <w:rFonts w:ascii="游ゴシック" w:hAnsi="游ゴシック" w:eastAsia="游ゴシック"/>
                <w:b w:val="0"/>
                <w:sz w:val="18"/>
              </w:rPr>
              <w:t>81.6</w:t>
            </w:r>
          </w:p>
        </w:tc>
        <w:tc>
          <w:tcPr>
            <w:tcW w:type="dxa" w:w="1247"/>
            <w:vAlign w:val="center"/>
          </w:tcPr>
          <w:p>
            <w:pPr>
              <w:spacing w:after="0"/>
              <w:jc w:val="center"/>
            </w:pPr>
            <w:r>
              <w:rPr>
                <w:rFonts w:ascii="游ゴシック" w:hAnsi="游ゴシック" w:eastAsia="游ゴシック"/>
                <w:b w:val="0"/>
                <w:sz w:val="18"/>
              </w:rPr>
              <w:t>-6.6</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特定施設</w:t>
            </w:r>
          </w:p>
        </w:tc>
        <w:tc>
          <w:tcPr>
            <w:tcW w:type="dxa" w:w="1247"/>
            <w:shd w:val="clear" w:color="auto" w:fill="F2F5FA"/>
            <w:vAlign w:val="center"/>
          </w:tcPr>
          <w:p>
            <w:pPr>
              <w:spacing w:after="0"/>
              <w:jc w:val="center"/>
            </w:pPr>
            <w:r>
              <w:rPr>
                <w:rFonts w:ascii="游ゴシック" w:hAnsi="游ゴシック" w:eastAsia="游ゴシック"/>
                <w:b w:val="0"/>
                <w:sz w:val="18"/>
              </w:rPr>
              <w:t>57</w:t>
            </w:r>
          </w:p>
        </w:tc>
        <w:tc>
          <w:tcPr>
            <w:tcW w:type="dxa" w:w="1361"/>
            <w:shd w:val="clear" w:color="auto" w:fill="F2F5FA"/>
            <w:vAlign w:val="center"/>
          </w:tcPr>
          <w:p>
            <w:pPr>
              <w:spacing w:after="0"/>
              <w:jc w:val="center"/>
            </w:pPr>
            <w:r>
              <w:rPr>
                <w:rFonts w:ascii="游ゴシック" w:hAnsi="游ゴシック" w:eastAsia="游ゴシック"/>
                <w:b w:val="0"/>
                <w:sz w:val="18"/>
              </w:rPr>
              <w:t>61.5</w:t>
            </w:r>
          </w:p>
        </w:tc>
        <w:tc>
          <w:tcPr>
            <w:tcW w:type="dxa" w:w="1247"/>
            <w:shd w:val="clear" w:color="auto" w:fill="F2F5FA"/>
            <w:vAlign w:val="center"/>
          </w:tcPr>
          <w:p>
            <w:pPr>
              <w:spacing w:after="0"/>
              <w:jc w:val="center"/>
            </w:pPr>
            <w:r>
              <w:rPr>
                <w:rFonts w:ascii="游ゴシック" w:hAnsi="游ゴシック" w:eastAsia="游ゴシック"/>
                <w:b w:val="0"/>
                <w:sz w:val="18"/>
              </w:rPr>
              <w:t>-4.5</w:t>
            </w:r>
          </w:p>
        </w:tc>
        <w:tc>
          <w:tcPr>
            <w:tcW w:type="dxa" w:w="3969"/>
            <w:shd w:val="clear" w:color="auto" w:fill="F2F5FA"/>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spacing w:after="0"/>
            </w:pPr>
            <w:r>
              <w:rPr>
                <w:rFonts w:ascii="游ゴシック" w:hAnsi="游ゴシック" w:eastAsia="游ゴシック"/>
                <w:b/>
                <w:sz w:val="18"/>
              </w:rPr>
              <w:t>特養・地域密着型特養</w:t>
            </w:r>
          </w:p>
        </w:tc>
        <w:tc>
          <w:tcPr>
            <w:tcW w:type="dxa" w:w="1247"/>
            <w:vAlign w:val="center"/>
          </w:tcPr>
          <w:p>
            <w:pPr>
              <w:spacing w:after="0"/>
              <w:jc w:val="center"/>
            </w:pPr>
            <w:r>
              <w:rPr>
                <w:rFonts w:ascii="游ゴシック" w:hAnsi="游ゴシック" w:eastAsia="游ゴシック"/>
                <w:b w:val="0"/>
                <w:sz w:val="18"/>
              </w:rPr>
              <w:t>146</w:t>
            </w:r>
          </w:p>
        </w:tc>
        <w:tc>
          <w:tcPr>
            <w:tcW w:type="dxa" w:w="1361"/>
            <w:vAlign w:val="center"/>
          </w:tcPr>
          <w:p>
            <w:pPr>
              <w:spacing w:after="0"/>
              <w:jc w:val="center"/>
            </w:pPr>
            <w:r>
              <w:rPr>
                <w:rFonts w:ascii="游ゴシック" w:hAnsi="游ゴシック" w:eastAsia="游ゴシック"/>
                <w:b w:val="0"/>
                <w:sz w:val="18"/>
              </w:rPr>
              <w:t>197.5</w:t>
            </w:r>
          </w:p>
        </w:tc>
        <w:tc>
          <w:tcPr>
            <w:tcW w:type="dxa" w:w="1247"/>
            <w:vAlign w:val="center"/>
          </w:tcPr>
          <w:p>
            <w:pPr>
              <w:spacing w:after="0"/>
              <w:jc w:val="center"/>
            </w:pPr>
            <w:r>
              <w:rPr>
                <w:rFonts w:ascii="游ゴシック" w:hAnsi="游ゴシック" w:eastAsia="游ゴシック"/>
                <w:b w:val="0"/>
                <w:sz w:val="18"/>
              </w:rPr>
              <w:t>-51.5</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val="0"/>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令和8年9月17日に、報告書に載せていた見込量を計画素案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現在は報告書が算定を直接読む形にしており、算定を改めれば報告書も追随します。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spacing w:after="0"/>
            </w:pPr>
            <w:r>
              <w:rPr>
                <w:rFonts w:ascii="游ゴシック" w:hAnsi="游ゴシック" w:eastAsia="游ゴシック"/>
                <w:b/>
                <w:sz w:val="18"/>
              </w:rPr>
              <w:t>施設サービス</w:t>
            </w:r>
          </w:p>
        </w:tc>
        <w:tc>
          <w:tcPr>
            <w:tcW w:type="dxa" w:w="1814"/>
            <w:vAlign w:val="center"/>
          </w:tcPr>
          <w:p>
            <w:pPr>
              <w:spacing w:after="0"/>
              <w:jc w:val="center"/>
            </w:pPr>
            <w:r>
              <w:rPr>
                <w:rFonts w:ascii="游ゴシック" w:hAnsi="游ゴシック" w:eastAsia="游ゴシック"/>
                <w:b w:val="0"/>
                <w:sz w:val="18"/>
              </w:rPr>
              <w:t>337.1</w:t>
            </w:r>
          </w:p>
        </w:tc>
        <w:tc>
          <w:tcPr>
            <w:tcW w:type="dxa" w:w="1928"/>
            <w:vAlign w:val="center"/>
          </w:tcPr>
          <w:p>
            <w:pPr>
              <w:spacing w:after="0"/>
              <w:jc w:val="center"/>
            </w:pPr>
            <w:r>
              <w:rPr>
                <w:rFonts w:ascii="游ゴシック" w:hAnsi="游ゴシック" w:eastAsia="游ゴシック"/>
                <w:b w:val="0"/>
                <w:sz w:val="18"/>
              </w:rPr>
              <w:t>352.3</w:t>
            </w:r>
          </w:p>
        </w:tc>
        <w:tc>
          <w:tcPr>
            <w:tcW w:type="dxa" w:w="1361"/>
            <w:vAlign w:val="center"/>
          </w:tcPr>
          <w:p>
            <w:pPr>
              <w:spacing w:after="0"/>
              <w:jc w:val="center"/>
            </w:pPr>
            <w:r>
              <w:rPr>
                <w:rFonts w:ascii="游ゴシック" w:hAnsi="游ゴシック" w:eastAsia="游ゴシック"/>
                <w:b w:val="0"/>
                <w:sz w:val="18"/>
              </w:rPr>
              <w:t>462</w:t>
            </w:r>
          </w:p>
        </w:tc>
        <w:tc>
          <w:tcPr>
            <w:tcW w:type="dxa" w:w="1701"/>
            <w:vAlign w:val="center"/>
          </w:tcPr>
          <w:p>
            <w:pPr>
              <w:spacing w:after="0"/>
              <w:jc w:val="center"/>
            </w:pPr>
            <w:r>
              <w:rPr>
                <w:rFonts w:ascii="游ゴシック" w:hAnsi="游ゴシック" w:eastAsia="游ゴシック"/>
                <w:b w:val="0"/>
                <w:sz w:val="18"/>
              </w:rPr>
              <w:t>76.3％</w:t>
            </w:r>
          </w:p>
        </w:tc>
      </w:tr>
      <w:tr>
        <w:trPr>
          <w:cantSplit/>
        </w:trPr>
        <w:tc>
          <w:tcPr>
            <w:tcW w:type="dxa" w:w="1928"/>
            <w:shd w:val="clear" w:color="auto" w:fill="F2F5FA"/>
            <w:vAlign w:val="center"/>
          </w:tcPr>
          <w:p>
            <w:pPr>
              <w:spacing w:after="0"/>
            </w:pPr>
            <w:r>
              <w:rPr>
                <w:rFonts w:ascii="游ゴシック" w:hAnsi="游ゴシック" w:eastAsia="游ゴシック"/>
                <w:b/>
                <w:sz w:val="18"/>
              </w:rPr>
              <w:t>居住系サービス</w:t>
            </w:r>
          </w:p>
        </w:tc>
        <w:tc>
          <w:tcPr>
            <w:tcW w:type="dxa" w:w="1814"/>
            <w:shd w:val="clear" w:color="auto" w:fill="F2F5FA"/>
            <w:vAlign w:val="center"/>
          </w:tcPr>
          <w:p>
            <w:pPr>
              <w:spacing w:after="0"/>
              <w:jc w:val="center"/>
            </w:pPr>
            <w:r>
              <w:rPr>
                <w:rFonts w:ascii="游ゴシック" w:hAnsi="游ゴシック" w:eastAsia="游ゴシック"/>
                <w:b w:val="0"/>
                <w:sz w:val="18"/>
              </w:rPr>
              <w:t>143.1</w:t>
            </w:r>
          </w:p>
        </w:tc>
        <w:tc>
          <w:tcPr>
            <w:tcW w:type="dxa" w:w="1928"/>
            <w:shd w:val="clear" w:color="auto" w:fill="F2F5FA"/>
            <w:vAlign w:val="center"/>
          </w:tcPr>
          <w:p>
            <w:pPr>
              <w:spacing w:after="0"/>
              <w:jc w:val="center"/>
            </w:pPr>
            <w:r>
              <w:rPr>
                <w:rFonts w:ascii="游ゴシック" w:hAnsi="游ゴシック" w:eastAsia="游ゴシック"/>
                <w:b w:val="0"/>
                <w:sz w:val="18"/>
              </w:rPr>
              <w:t>149.4</w:t>
            </w:r>
          </w:p>
        </w:tc>
        <w:tc>
          <w:tcPr>
            <w:tcW w:type="dxa" w:w="1361"/>
            <w:shd w:val="clear" w:color="auto" w:fill="F2F5FA"/>
            <w:vAlign w:val="center"/>
          </w:tcPr>
          <w:p>
            <w:pPr>
              <w:spacing w:after="0"/>
              <w:jc w:val="center"/>
            </w:pPr>
            <w:r>
              <w:rPr>
                <w:rFonts w:ascii="游ゴシック" w:hAnsi="游ゴシック" w:eastAsia="游ゴシック"/>
                <w:b w:val="0"/>
                <w:sz w:val="18"/>
              </w:rPr>
              <w:t>255</w:t>
            </w:r>
          </w:p>
        </w:tc>
        <w:tc>
          <w:tcPr>
            <w:tcW w:type="dxa" w:w="1701"/>
            <w:shd w:val="clear" w:color="auto" w:fill="F2F5FA"/>
            <w:vAlign w:val="center"/>
          </w:tcPr>
          <w:p>
            <w:pPr>
              <w:spacing w:after="0"/>
              <w:jc w:val="center"/>
            </w:pPr>
            <w:r>
              <w:rPr>
                <w:rFonts w:ascii="游ゴシック" w:hAnsi="游ゴシック" w:eastAsia="游ゴシック"/>
                <w:b w:val="0"/>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val="0"/>
                <w:sz w:val="18"/>
              </w:rPr>
              <w:t>70.0％</w:t>
            </w:r>
          </w:p>
        </w:tc>
      </w:tr>
    </w:tbl>
    <w:p>
      <w:pPr>
        <w:spacing w:after="80"/>
      </w:pPr>
      <w:r>
        <w:rPr>
          <w:rFonts w:ascii="游ゴシック" w:hAnsi="游ゴシック" w:eastAsia="游ゴシック"/>
          <w:b/>
          <w:sz w:val="21"/>
        </w:rPr>
        <w:t>合計では定員に収まりますが、種別ごとに見ると様子が違います。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地域密着型介護老人福祉施設入所者生活介護は令和11年度に定員62人の99.9％に達します。</w:t>
      </w:r>
      <w:r>
        <w:rPr>
          <w:rFonts w:ascii="游ゴシック" w:hAnsi="游ゴシック" w:eastAsia="游ゴシック"/>
          <w:b w:val="0"/>
          <w:sz w:val="21"/>
        </w:rPr>
        <w:t>令和8年9月24日に中長期の年次を広げたところ、定員を超えるのは令和12年度であることが分かりました。</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特定施設は区域内ではほぼ満室です</w:t>
      </w:r>
      <w:r>
        <w:rPr>
          <w:rFonts w:ascii="游ゴシック" w:hAnsi="游ゴシック" w:eastAsia="游ゴシック"/>
          <w:b w:val="0"/>
          <w:sz w:val="21"/>
        </w:rPr>
        <w:t>（定員156人に対し入居者154人・98.7％。所見20）。一方、当広域連合の被保険者の受給は令和7年度で61.5人／月であり、定員の39.4％にとどまります。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・介護老人保健施設・介護老人福祉施設は令和11年度に定員内に収まります。ただし特別養護老人ホームの待機者は別に存在します（所見17）。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第1次概算」（令和8年9月16日）によるものであり、計画素案 第6章と同じ値です。本報告は算定を直接読んでおり、数値を書き写していません。</w:t>
      </w:r>
    </w:p>
    <w:p>
      <w:pPr>
        <w:keepNext/>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認定者1,984人（令和7年度）がどのサービスを使っているかを年報から求めました。</w:t>
      </w:r>
    </w:p>
    <w:p>
      <w:pPr>
        <w:keepNext/>
        <w:spacing w:before="160" w:after="40"/>
      </w:pPr>
      <w:r>
        <w:rPr>
          <w:rFonts w:ascii="游ゴシック" w:hAnsi="游ゴシック" w:eastAsia="游ゴシック"/>
          <w:b/>
          <w:sz w:val="20"/>
        </w:rPr>
        <w:t>表9　認定者の利用状況（令和7年度）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2041"/>
            <w:vAlign w:val="center"/>
          </w:tcPr>
          <w:p>
            <w:pPr>
              <w:spacing w:after="0"/>
            </w:pPr>
            <w:r>
              <w:rPr>
                <w:rFonts w:ascii="游ゴシック" w:hAnsi="游ゴシック" w:eastAsia="游ゴシック"/>
                <w:b/>
                <w:sz w:val="18"/>
              </w:rPr>
              <w:t>在宅サービス</w:t>
            </w:r>
          </w:p>
        </w:tc>
        <w:tc>
          <w:tcPr>
            <w:tcW w:type="dxa" w:w="1247"/>
            <w:vAlign w:val="center"/>
          </w:tcPr>
          <w:p>
            <w:pPr>
              <w:spacing w:after="0"/>
              <w:jc w:val="center"/>
            </w:pPr>
            <w:r>
              <w:rPr>
                <w:rFonts w:ascii="游ゴシック" w:hAnsi="游ゴシック" w:eastAsia="游ゴシック"/>
                <w:b w:val="0"/>
                <w:sz w:val="18"/>
              </w:rPr>
              <w:t>1,016人</w:t>
            </w:r>
          </w:p>
        </w:tc>
        <w:tc>
          <w:tcPr>
            <w:tcW w:type="dxa" w:w="1701"/>
            <w:vAlign w:val="center"/>
          </w:tcPr>
          <w:p>
            <w:pPr>
              <w:spacing w:after="0"/>
              <w:jc w:val="center"/>
            </w:pPr>
            <w:r>
              <w:rPr>
                <w:rFonts w:ascii="游ゴシック" w:hAnsi="游ゴシック" w:eastAsia="游ゴシック"/>
                <w:b w:val="0"/>
                <w:sz w:val="18"/>
              </w:rPr>
              <w:t>51.2％</w:t>
            </w:r>
          </w:p>
        </w:tc>
        <w:tc>
          <w:tcPr>
            <w:tcW w:type="dxa" w:w="4649"/>
            <w:vAlign w:val="center"/>
          </w:tcPr>
          <w:p>
            <w:pPr>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spacing w:after="0"/>
            </w:pPr>
            <w:r>
              <w:rPr>
                <w:rFonts w:ascii="游ゴシック" w:hAnsi="游ゴシック" w:eastAsia="游ゴシック"/>
                <w:b/>
                <w:sz w:val="18"/>
              </w:rPr>
              <w:t>居住系サービス</w:t>
            </w:r>
          </w:p>
        </w:tc>
        <w:tc>
          <w:tcPr>
            <w:tcW w:type="dxa" w:w="1247"/>
            <w:shd w:val="clear" w:color="auto" w:fill="F2F5FA"/>
            <w:vAlign w:val="center"/>
          </w:tcPr>
          <w:p>
            <w:pPr>
              <w:spacing w:after="0"/>
              <w:jc w:val="center"/>
            </w:pPr>
            <w:r>
              <w:rPr>
                <w:rFonts w:ascii="游ゴシック" w:hAnsi="游ゴシック" w:eastAsia="游ゴシック"/>
                <w:b w:val="0"/>
                <w:sz w:val="18"/>
              </w:rPr>
              <w:t>145人</w:t>
            </w:r>
          </w:p>
        </w:tc>
        <w:tc>
          <w:tcPr>
            <w:tcW w:type="dxa" w:w="1701"/>
            <w:shd w:val="clear" w:color="auto" w:fill="F2F5FA"/>
            <w:vAlign w:val="center"/>
          </w:tcPr>
          <w:p>
            <w:pPr>
              <w:spacing w:after="0"/>
              <w:jc w:val="center"/>
            </w:pPr>
            <w:r>
              <w:rPr>
                <w:rFonts w:ascii="游ゴシック" w:hAnsi="游ゴシック" w:eastAsia="游ゴシック"/>
                <w:b w:val="0"/>
                <w:sz w:val="18"/>
              </w:rPr>
              <w:t>7.3％</w:t>
            </w:r>
          </w:p>
        </w:tc>
        <w:tc>
          <w:tcPr>
            <w:tcW w:type="dxa" w:w="4649"/>
            <w:shd w:val="clear" w:color="auto" w:fill="F2F5FA"/>
            <w:vAlign w:val="center"/>
          </w:tcPr>
          <w:p>
            <w:pPr>
              <w:spacing w:after="0"/>
            </w:pPr>
            <w:r>
              <w:rPr>
                <w:rFonts w:ascii="游ゴシック" w:hAnsi="游ゴシック" w:eastAsia="游ゴシック"/>
                <w:b w:val="0"/>
                <w:sz w:val="18"/>
              </w:rPr>
              <w:t>グループホーム・特定施設</w:t>
            </w:r>
          </w:p>
        </w:tc>
      </w:tr>
      <w:tr>
        <w:trPr>
          <w:cantSplit/>
        </w:trPr>
        <w:tc>
          <w:tcPr>
            <w:tcW w:type="dxa" w:w="2041"/>
            <w:vAlign w:val="center"/>
          </w:tcPr>
          <w:p>
            <w:pPr>
              <w:spacing w:after="0"/>
            </w:pPr>
            <w:r>
              <w:rPr>
                <w:rFonts w:ascii="游ゴシック" w:hAnsi="游ゴシック" w:eastAsia="游ゴシック"/>
                <w:b/>
                <w:sz w:val="18"/>
              </w:rPr>
              <w:t>施設サービス</w:t>
            </w:r>
          </w:p>
        </w:tc>
        <w:tc>
          <w:tcPr>
            <w:tcW w:type="dxa" w:w="1247"/>
            <w:vAlign w:val="center"/>
          </w:tcPr>
          <w:p>
            <w:pPr>
              <w:spacing w:after="0"/>
              <w:jc w:val="center"/>
            </w:pPr>
            <w:r>
              <w:rPr>
                <w:rFonts w:ascii="游ゴシック" w:hAnsi="游ゴシック" w:eastAsia="游ゴシック"/>
                <w:b w:val="0"/>
                <w:sz w:val="18"/>
              </w:rPr>
              <w:t>337人</w:t>
            </w:r>
          </w:p>
        </w:tc>
        <w:tc>
          <w:tcPr>
            <w:tcW w:type="dxa" w:w="1701"/>
            <w:vAlign w:val="center"/>
          </w:tcPr>
          <w:p>
            <w:pPr>
              <w:spacing w:after="0"/>
              <w:jc w:val="center"/>
            </w:pPr>
            <w:r>
              <w:rPr>
                <w:rFonts w:ascii="游ゴシック" w:hAnsi="游ゴシック" w:eastAsia="游ゴシック"/>
                <w:b w:val="0"/>
                <w:sz w:val="18"/>
              </w:rPr>
              <w:t>17.0％</w:t>
            </w:r>
          </w:p>
        </w:tc>
        <w:tc>
          <w:tcPr>
            <w:tcW w:type="dxa" w:w="4649"/>
            <w:vAlign w:val="center"/>
          </w:tcPr>
          <w:p>
            <w:pPr>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val="0"/>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spacing w:after="0"/>
            </w:pPr>
            <w:r>
              <w:rPr>
                <w:rFonts w:ascii="游ゴシック" w:hAnsi="游ゴシック" w:eastAsia="游ゴシック"/>
                <w:b w:val="0"/>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spacing w:after="0"/>
            </w:pPr>
            <w:r>
              <w:rPr>
                <w:rFonts w:ascii="游ゴシック" w:hAnsi="游ゴシック" w:eastAsia="游ゴシック"/>
                <w:b w:val="0"/>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spacing w:after="0"/>
            </w:pPr>
            <w:r>
              <w:rPr>
                <w:rFonts w:ascii="游ゴシック" w:hAnsi="游ゴシック" w:eastAsia="游ゴシック"/>
                <w:b w:val="0"/>
                <w:sz w:val="18"/>
              </w:rPr>
              <w:t>第6章第5節（医療と介護の連携）の根拠とする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spacing w:after="0"/>
            </w:pPr>
            <w:r>
              <w:rPr>
                <w:rFonts w:ascii="游ゴシック" w:hAnsi="游ゴシック" w:eastAsia="游ゴシック"/>
                <w:b w:val="0"/>
                <w:sz w:val="18"/>
              </w:rPr>
              <w:t>第3章第5節では、把握範囲を明記したうえで記述する。本調査を継続する意義を第10期に位置づける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val="0"/>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spacing w:after="0"/>
              <w:jc w:val="center"/>
            </w:pPr>
            <w:r>
              <w:rPr>
                <w:rFonts w:ascii="游ゴシック" w:hAnsi="游ゴシック" w:eastAsia="游ゴシック"/>
                <w:b/>
                <w:color w:val="FFFFFF"/>
                <w:sz w:val="18"/>
              </w:rPr>
              <w:t>状態</w:t>
            </w:r>
          </w:p>
        </w:tc>
      </w:tr>
      <w:tr>
        <w:trPr>
          <w:cantSplit/>
        </w:trPr>
        <w:tc>
          <w:tcPr>
            <w:tcW w:type="dxa" w:w="1814"/>
            <w:vAlign w:val="center"/>
          </w:tcPr>
          <w:p>
            <w:pPr>
              <w:spacing w:after="0"/>
            </w:pPr>
            <w:r>
              <w:rPr>
                <w:rFonts w:ascii="游ゴシック" w:hAnsi="游ゴシック" w:eastAsia="游ゴシック"/>
                <w:b/>
                <w:sz w:val="18"/>
              </w:rPr>
              <w:t>移動と外出の確保（生活支援）</w:t>
            </w:r>
          </w:p>
        </w:tc>
        <w:tc>
          <w:tcPr>
            <w:tcW w:type="dxa" w:w="680"/>
            <w:vAlign w:val="center"/>
          </w:tcPr>
          <w:p>
            <w:pPr>
              <w:spacing w:after="0"/>
              <w:jc w:val="center"/>
            </w:pPr>
            <w:r>
              <w:rPr>
                <w:rFonts w:ascii="游ゴシック" w:hAnsi="游ゴシック" w:eastAsia="游ゴシック"/>
                <w:b w:val="0"/>
                <w:sz w:val="18"/>
              </w:rPr>
              <w:t>No.7</w:t>
            </w:r>
          </w:p>
        </w:tc>
        <w:tc>
          <w:tcPr>
            <w:tcW w:type="dxa" w:w="3628"/>
            <w:vAlign w:val="center"/>
          </w:tcPr>
          <w:p>
            <w:pPr>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spacing w:after="0"/>
            </w:pPr>
            <w:r>
              <w:rPr>
                <w:rFonts w:ascii="游ゴシック" w:hAnsi="游ゴシック" w:eastAsia="游ゴシック"/>
                <w:b w:val="0"/>
                <w:sz w:val="18"/>
              </w:rPr>
              <w:t>第2章第5節・第5章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spacing w:after="0"/>
              <w:jc w:val="center"/>
            </w:pPr>
            <w:r>
              <w:rPr>
                <w:rFonts w:ascii="游ゴシック" w:hAnsi="游ゴシック" w:eastAsia="游ゴシック"/>
                <w:b w:val="0"/>
                <w:sz w:val="18"/>
              </w:rPr>
              <w:t>No.9</w:t>
            </w:r>
          </w:p>
        </w:tc>
        <w:tc>
          <w:tcPr>
            <w:tcW w:type="dxa" w:w="3628"/>
            <w:shd w:val="clear" w:color="auto" w:fill="F2F5FA"/>
            <w:vAlign w:val="center"/>
          </w:tcPr>
          <w:p>
            <w:pPr>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除雪（介護保険の給付対象外）</w:t>
            </w:r>
          </w:p>
        </w:tc>
        <w:tc>
          <w:tcPr>
            <w:tcW w:type="dxa" w:w="680"/>
            <w:vAlign w:val="center"/>
          </w:tcPr>
          <w:p>
            <w:pPr>
              <w:spacing w:after="0"/>
              <w:jc w:val="center"/>
            </w:pPr>
            <w:r>
              <w:rPr>
                <w:rFonts w:ascii="游ゴシック" w:hAnsi="游ゴシック" w:eastAsia="游ゴシック"/>
                <w:b w:val="0"/>
                <w:sz w:val="18"/>
              </w:rPr>
              <w:t>No.8</w:t>
            </w:r>
          </w:p>
        </w:tc>
        <w:tc>
          <w:tcPr>
            <w:tcW w:type="dxa" w:w="3628"/>
            <w:vAlign w:val="center"/>
          </w:tcPr>
          <w:p>
            <w:pPr>
              <w:spacing w:after="0"/>
            </w:pPr>
            <w:r>
              <w:rPr>
                <w:rFonts w:ascii="游ゴシック" w:hAnsi="游ゴシック" w:eastAsia="游ゴシック"/>
                <w:b w:val="0"/>
                <w:sz w:val="18"/>
              </w:rPr>
              <w:t>健康とくらしの調査で24.3％（n=4,128）。介護保険の給付対象外。</w:t>
            </w:r>
          </w:p>
        </w:tc>
        <w:tc>
          <w:tcPr>
            <w:tcW w:type="dxa" w:w="2041"/>
            <w:vAlign w:val="center"/>
          </w:tcPr>
          <w:p>
            <w:pPr>
              <w:spacing w:after="0"/>
            </w:pPr>
            <w:r>
              <w:rPr>
                <w:rFonts w:ascii="游ゴシック" w:hAnsi="游ゴシック" w:eastAsia="游ゴシック"/>
                <w:b w:val="0"/>
                <w:sz w:val="18"/>
              </w:rPr>
              <w:t>第2章第4節・第5章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24時間対応サービスの不在</w:t>
            </w:r>
          </w:p>
        </w:tc>
        <w:tc>
          <w:tcPr>
            <w:tcW w:type="dxa" w:w="680"/>
            <w:shd w:val="clear" w:color="auto" w:fill="F2F5FA"/>
            <w:vAlign w:val="center"/>
          </w:tcPr>
          <w:p>
            <w:pPr>
              <w:spacing w:after="0"/>
              <w:jc w:val="center"/>
            </w:pPr>
            <w:r>
              <w:rPr>
                <w:rFonts w:ascii="游ゴシック" w:hAnsi="游ゴシック" w:eastAsia="游ゴシック"/>
                <w:b w:val="0"/>
                <w:sz w:val="18"/>
              </w:rPr>
              <w:t>No.3</w:t>
            </w:r>
          </w:p>
        </w:tc>
        <w:tc>
          <w:tcPr>
            <w:tcW w:type="dxa" w:w="3628"/>
            <w:shd w:val="clear" w:color="auto" w:fill="F2F5FA"/>
            <w:vAlign w:val="center"/>
          </w:tcPr>
          <w:p>
            <w:pPr>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spacing w:after="0"/>
            </w:pPr>
            <w:r>
              <w:rPr>
                <w:rFonts w:ascii="游ゴシック" w:hAnsi="游ゴシック" w:eastAsia="游ゴシック"/>
                <w:b w:val="0"/>
                <w:sz w:val="18"/>
              </w:rPr>
              <w:t>第6章第4節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医療機関からの施設入所という経路</w:t>
            </w:r>
          </w:p>
        </w:tc>
        <w:tc>
          <w:tcPr>
            <w:tcW w:type="dxa" w:w="680"/>
            <w:vAlign w:val="center"/>
          </w:tcPr>
          <w:p>
            <w:pPr>
              <w:spacing w:after="0"/>
              <w:jc w:val="center"/>
            </w:pPr>
            <w:r>
              <w:rPr>
                <w:rFonts w:ascii="游ゴシック" w:hAnsi="游ゴシック" w:eastAsia="游ゴシック"/>
                <w:b w:val="0"/>
                <w:sz w:val="18"/>
              </w:rPr>
              <w:t>No.1</w:t>
            </w:r>
          </w:p>
        </w:tc>
        <w:tc>
          <w:tcPr>
            <w:tcW w:type="dxa" w:w="3628"/>
            <w:vAlign w:val="center"/>
          </w:tcPr>
          <w:p>
            <w:pPr>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spacing w:after="0"/>
            </w:pPr>
            <w:r>
              <w:rPr>
                <w:rFonts w:ascii="游ゴシック" w:hAnsi="游ゴシック" w:eastAsia="游ゴシック"/>
                <w:b w:val="0"/>
                <w:sz w:val="18"/>
              </w:rPr>
              <w:t>第2章第6節・第6章第5節</w:t>
            </w:r>
          </w:p>
        </w:tc>
        <w:tc>
          <w:tcPr>
            <w:tcW w:type="dxa" w:w="907"/>
            <w:vAlign w:val="center"/>
          </w:tcPr>
          <w:p>
            <w:pPr>
              <w:spacing w:after="0"/>
              <w:jc w:val="center"/>
            </w:pPr>
            <w:r>
              <w:rPr>
                <w:rFonts w:ascii="游ゴシック" w:hAnsi="游ゴシック" w:eastAsia="游ゴシック"/>
                <w:b w:val="0"/>
                <w:sz w:val="18"/>
              </w:rPr>
              <w:t>着手可</w:t>
            </w:r>
          </w:p>
        </w:tc>
      </w:tr>
      <w:tr>
        <w:trPr>
          <w:cantSplit/>
        </w:trPr>
        <w:tc>
          <w:tcPr>
            <w:tcW w:type="dxa" w:w="1814"/>
            <w:shd w:val="clear" w:color="auto" w:fill="F2F5FA"/>
            <w:vAlign w:val="center"/>
          </w:tcPr>
          <w:p>
            <w:pPr>
              <w:spacing w:after="0"/>
            </w:pPr>
            <w:r>
              <w:rPr>
                <w:rFonts w:ascii="游ゴシック" w:hAnsi="游ゴシック" w:eastAsia="游ゴシック"/>
                <w:b/>
                <w:sz w:val="18"/>
              </w:rPr>
              <w:t>介護人材の把握範囲</w:t>
            </w:r>
          </w:p>
        </w:tc>
        <w:tc>
          <w:tcPr>
            <w:tcW w:type="dxa" w:w="680"/>
            <w:shd w:val="clear" w:color="auto" w:fill="F2F5FA"/>
            <w:vAlign w:val="center"/>
          </w:tcPr>
          <w:p>
            <w:pPr>
              <w:spacing w:after="0"/>
              <w:jc w:val="center"/>
            </w:pPr>
            <w:r>
              <w:rPr>
                <w:rFonts w:ascii="游ゴシック" w:hAnsi="游ゴシック" w:eastAsia="游ゴシック"/>
                <w:b w:val="0"/>
                <w:sz w:val="18"/>
              </w:rPr>
              <w:t>No.6</w:t>
            </w:r>
          </w:p>
        </w:tc>
        <w:tc>
          <w:tcPr>
            <w:tcW w:type="dxa" w:w="3628"/>
            <w:shd w:val="clear" w:color="auto" w:fill="F2F5FA"/>
            <w:vAlign w:val="center"/>
          </w:tcPr>
          <w:p>
            <w:pPr>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spacing w:after="0"/>
            </w:pPr>
            <w:r>
              <w:rPr>
                <w:rFonts w:ascii="游ゴシック" w:hAnsi="游ゴシック" w:eastAsia="游ゴシック"/>
                <w:b w:val="0"/>
                <w:sz w:val="18"/>
              </w:rPr>
              <w:t>第3章第5節</w:t>
            </w:r>
          </w:p>
        </w:tc>
        <w:tc>
          <w:tcPr>
            <w:tcW w:type="dxa" w:w="907"/>
            <w:shd w:val="clear" w:color="auto" w:fill="F2F5FA"/>
            <w:vAlign w:val="center"/>
          </w:tcPr>
          <w:p>
            <w:pPr>
              <w:spacing w:after="0"/>
              <w:jc w:val="center"/>
            </w:pPr>
            <w:r>
              <w:rPr>
                <w:rFonts w:ascii="游ゴシック" w:hAnsi="游ゴシック" w:eastAsia="游ゴシック"/>
                <w:b w:val="0"/>
                <w:sz w:val="18"/>
              </w:rPr>
              <w:t>着手可</w:t>
            </w:r>
          </w:p>
        </w:tc>
      </w:tr>
      <w:tr>
        <w:trPr>
          <w:cantSplit/>
        </w:trPr>
        <w:tc>
          <w:tcPr>
            <w:tcW w:type="dxa" w:w="1814"/>
            <w:vAlign w:val="center"/>
          </w:tcPr>
          <w:p>
            <w:pPr>
              <w:spacing w:after="0"/>
            </w:pPr>
            <w:r>
              <w:rPr>
                <w:rFonts w:ascii="游ゴシック" w:hAnsi="游ゴシック" w:eastAsia="游ゴシック"/>
                <w:b/>
                <w:sz w:val="18"/>
              </w:rPr>
              <w:t>介護人材の定着</w:t>
            </w:r>
          </w:p>
        </w:tc>
        <w:tc>
          <w:tcPr>
            <w:tcW w:type="dxa" w:w="680"/>
            <w:vAlign w:val="center"/>
          </w:tcPr>
          <w:p>
            <w:pPr>
              <w:spacing w:after="0"/>
              <w:jc w:val="center"/>
            </w:pPr>
            <w:r>
              <w:rPr>
                <w:rFonts w:ascii="游ゴシック" w:hAnsi="游ゴシック" w:eastAsia="游ゴシック"/>
                <w:b w:val="0"/>
                <w:sz w:val="18"/>
              </w:rPr>
              <w:t>No.11</w:t>
            </w:r>
          </w:p>
        </w:tc>
        <w:tc>
          <w:tcPr>
            <w:tcW w:type="dxa" w:w="3628"/>
            <w:vAlign w:val="center"/>
          </w:tcPr>
          <w:p>
            <w:pPr>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spacing w:after="0"/>
            </w:pPr>
            <w:r>
              <w:rPr>
                <w:rFonts w:ascii="游ゴシック" w:hAnsi="游ゴシック" w:eastAsia="游ゴシック"/>
                <w:b w:val="0"/>
                <w:sz w:val="18"/>
              </w:rPr>
              <w:t>第3章第5節・第5章 基本目標4</w:t>
            </w:r>
          </w:p>
        </w:tc>
        <w:tc>
          <w:tcPr>
            <w:tcW w:type="dxa" w:w="907"/>
            <w:vAlign w:val="center"/>
          </w:tcPr>
          <w:p>
            <w:pPr>
              <w:spacing w:after="0"/>
              <w:jc w:val="center"/>
            </w:pPr>
            <w:r>
              <w:rPr>
                <w:rFonts w:ascii="游ゴシック" w:hAnsi="游ゴシック" w:eastAsia="游ゴシック"/>
                <w:b w:val="0"/>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利用者票99票のうち在宅生活の維持が困難72人（72.7％）。</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val="0"/>
                <w:sz w:val="18"/>
              </w:rPr>
              <w:t>決定待ち</w:t>
            </w:r>
          </w:p>
        </w:tc>
      </w:tr>
    </w:tbl>
    <w:p>
      <w:pPr>
        <w:ind w:left="227"/>
      </w:pPr>
      <w:r>
        <w:rPr>
          <w:rFonts w:ascii="游ゴシック" w:hAnsi="游ゴシック" w:eastAsia="游ゴシック"/>
          <w:b w:val="0"/>
          <w:sz w:val="18"/>
        </w:rPr>
        <w:t>※ 所見・根拠・反映先・状態は集計分析報告書 12シートの実物から読んでいます。課題の名は本報告で付けたものです。「決定待ち」は点検事項の取扱いのご決定（確認事項No.8）を待つものです。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13シート（第9期の課題・第10期の施策への対応レビュー）に収めています。</w:t>
      </w:r>
    </w:p>
    <w:p>
      <w:pPr>
        <w:keepNext/>
        <w:spacing w:before="28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r>
        <w:rPr>
          <w:rFonts w:ascii="游ゴシック" w:hAnsi="游ゴシック" w:eastAsia="游ゴシック"/>
          <w:b/>
          <w:sz w:val="21"/>
        </w:rPr>
        <w:t>反映済みかどうかは、計画素案の本文と表を章節ごとに実際に読んで判定しています。</w:t>
      </w:r>
      <w:r>
        <w:rPr>
          <w:rFonts w:ascii="游ゴシック" w:hAnsi="游ゴシック" w:eastAsia="游ゴシック"/>
          <w:b w:val="0"/>
          <w:sz w:val="21"/>
        </w:rPr>
        <w:t>固定値では書いていません。</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5件</w:t>
            </w:r>
          </w:p>
        </w:tc>
        <w:tc>
          <w:tcPr>
            <w:tcW w:type="dxa" w:w="6236"/>
            <w:vAlign w:val="center"/>
          </w:tcPr>
          <w:p>
            <w:pPr>
              <w:spacing w:after="0"/>
            </w:pPr>
            <w:r>
              <w:rPr>
                <w:rFonts w:ascii="游ゴシック" w:hAnsi="游ゴシック" w:eastAsia="游ゴシック"/>
                <w:b w:val="0"/>
                <w:sz w:val="18"/>
              </w:rPr>
              <w:t>計画素案の本文に反映済みであることを素案の実物で確認したもの。第2章第4節（高齢者の生活実態）は令和8年9月15日、第2章第5節・第6章第2節は既に反映している</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6件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点検事項の取扱いの決定を要しない。第1章第7節・第2章第3節・第2章第6節・第3章第5節・第5章・第6章第5節へ反映する（令和8年10月）</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点検事項No.1・No.2・No.13・No.25・No.31・No.32の取扱いが決まってから反映する（確認事項No.8）</w:t>
            </w:r>
          </w:p>
        </w:tc>
      </w:tr>
    </w:tbl>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keepNext/>
        <w:spacing w:before="180" w:after="60"/>
      </w:pPr>
      <w:r>
        <w:rPr>
          <w:rFonts w:ascii="游ゴシック" w:hAnsi="游ゴシック" w:eastAsia="游ゴシック"/>
          <w:b/>
          <w:sz w:val="22"/>
        </w:rPr>
        <w:t>着手できる所見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第2章第6節・第6章第5節）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第3章第5節）</w:t>
      </w:r>
    </w:p>
    <w:p>
      <w:pPr>
        <w:spacing w:after="60"/>
        <w:ind w:left="340" w:hanging="340"/>
      </w:pPr>
      <w:r>
        <w:rPr>
          <w:rFonts w:ascii="游ゴシック" w:hAnsi="游ゴシック" w:eastAsia="游ゴシック"/>
          <w:b w:val="0"/>
          <w:sz w:val="21"/>
        </w:rPr>
        <w:t>・所見20　特定施設は区域内でほぼ満室である（反映先　第2章第3節・第6章第4節）</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留保そのものは残りますが、どちらへどれだけ偏っているかを数値で示せるようになったものです。調査①の代表性（χ²＝43.5）と、在籍と受給の差がこれに当たります。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個票はご指示により格納しておらず作業領域にも残っていない。成果品は収録済みで内容は確定しており、現時点で不足はない</w:t>
            </w:r>
          </w:p>
        </w:tc>
        <w:tc>
          <w:tcPr>
            <w:tcW w:type="dxa" w:w="2835"/>
            <w:vAlign w:val="center"/>
          </w:tcPr>
          <w:p>
            <w:pPr>
              <w:spacing w:after="0"/>
            </w:pPr>
            <w:r>
              <w:rPr>
                <w:rFonts w:ascii="游ゴシック" w:hAnsi="游ゴシック" w:eastAsia="游ゴシック"/>
                <w:b w:val="0"/>
                <w:sz w:val="18"/>
              </w:rPr>
              <w:t>再提供は依頼しない。作り直しが要るときだけ依頼する</w:t>
            </w:r>
          </w:p>
        </w:tc>
      </w:tr>
    </w:tbl>
    <w:p>
      <w:pPr>
        <w:keepNext/>
        <w:spacing w:before="28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第6節の測定の記録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16シート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