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w:t>
      </w:r>
    </w:p>
    <w:p>
      <w:r>
        <w:t>小野町　第10期介護保険事業計画　／　令和8年9月15日</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算式の骨格は同じですが、需要の分母が違います。**アプリは認定者数を分母に置き、当方は第1号被保険者数を分母に置いています。小野町のデータでこの違いを金額にすると、総給付費の3年計で-258,015千円（-8.5％）、保険料基準額で月額-524円です。**今回の一式で見つかったどの論点よりも効きが大きいものです。**</w:t>
      </w:r>
    </w:p>
    <w:p>
      <w:r>
        <w:t>当方が第1号被保険者数を分母に置いているのは、小野町の認定者数の系列に断層があるためです（第4章）。見える化システムの公式画面は認定者ベースで動きますので、**システムに入力すると当方の値とずれます。**施策反映または直接入力でどう扱うかを、入力前に決めておく必要があります。</w:t>
      </w:r>
    </w:p>
    <w:p>
      <w:r>
        <w:t>そのほかの差異は、給付費の出し方、基準期間の選び方、価格水準の調整、供給上限の掛け方の4つです。いずれも当方の算定に理由があり、アプリ側にも当方が取り入れるべき点（月数加重、0の自動補完禁止、アクセス可能上限）があります。</w:t>
      </w:r>
    </w:p>
    <w:p>
      <w:r>
        <w:t>アプリの様式そのものにも直したほうがよい点が7件あります（第9章）。</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認定者1人当たりの受給率</w:t>
            </w:r>
          </w:p>
        </w:tc>
        <w:tc>
          <w:tcPr>
            <w:tcW w:type="dxa" w:w="2880"/>
          </w:tcPr>
          <w:p>
            <w:r>
              <w:rPr>
                <w:sz w:val="17"/>
              </w:rPr>
              <w:t>率 ＝ 各年度の［件数 ÷ 第1号被保険者数］の平均</w:t>
            </w:r>
          </w:p>
        </w:tc>
      </w:tr>
      <w:tr>
        <w:tc>
          <w:tcPr>
            <w:tcW w:type="dxa" w:w="2880"/>
          </w:tcPr>
          <w:p>
            <w:r>
              <w:rPr>
                <w:sz w:val="17"/>
              </w:rPr>
              <w:t>②　将来の利用者数</w:t>
            </w:r>
          </w:p>
        </w:tc>
        <w:tc>
          <w:tcPr>
            <w:tcW w:type="dxa" w:w="2880"/>
          </w:tcPr>
          <w:p>
            <w:r>
              <w:rPr>
                <w:sz w:val="17"/>
              </w:rPr>
              <w:t>users ＝ 将来の認定者見込 × rate × 受給率補正</w:t>
            </w:r>
          </w:p>
        </w:tc>
        <w:tc>
          <w:tcPr>
            <w:tcW w:type="dxa" w:w="2880"/>
          </w:tcPr>
          <w:p>
            <w:r>
              <w:rPr>
                <w:sz w:val="17"/>
              </w:rPr>
              <w:t>見込件数 ＝ 率 × 将来推計人口の第1号被保険者数</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差異①　需要の分母（いちばん効く）</w:t>
      </w:r>
    </w:p>
    <w:p>
      <w:r>
        <w:t>アプリは認定者数を分母に置きます。これは見える化システムの標準的な考え方で、国の手引にも沿っています。当方が第1号被保険者数を分母に置いているのは、小野町の認定者数の系列に断層があるため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分母の候補</w:t>
            </w:r>
          </w:p>
        </w:tc>
        <w:tc>
          <w:tcPr>
            <w:tcW w:type="dxa" w:w="1234"/>
          </w:tcPr>
          <w:p>
            <w:pPr>
              <w:jc w:val="center"/>
            </w:pPr>
            <w:r>
              <w:rPr>
                <w:b/>
                <w:sz w:val="17"/>
              </w:rPr>
              <w:t>令和3年度</w:t>
            </w:r>
          </w:p>
        </w:tc>
        <w:tc>
          <w:tcPr>
            <w:tcW w:type="dxa" w:w="1234"/>
          </w:tcPr>
          <w:p>
            <w:pPr>
              <w:jc w:val="center"/>
            </w:pPr>
            <w:r>
              <w:rPr>
                <w:b/>
                <w:sz w:val="17"/>
              </w:rPr>
              <w:t>令和4年度</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変動係数</w:t>
            </w:r>
          </w:p>
        </w:tc>
      </w:tr>
      <w:tr>
        <w:tc>
          <w:tcPr>
            <w:tcW w:type="dxa" w:w="1234"/>
          </w:tcPr>
          <w:p>
            <w:r>
              <w:rPr>
                <w:sz w:val="17"/>
              </w:rPr>
              <w:t>第1号被保険者数</w:t>
            </w:r>
          </w:p>
        </w:tc>
        <w:tc>
          <w:tcPr>
            <w:tcW w:type="dxa" w:w="1234"/>
          </w:tcPr>
          <w:p>
            <w:pPr>
              <w:jc w:val="right"/>
            </w:pPr>
            <w:r>
              <w:rPr>
                <w:sz w:val="17"/>
              </w:rPr>
              <w:t>3,498</w:t>
            </w:r>
          </w:p>
        </w:tc>
        <w:tc>
          <w:tcPr>
            <w:tcW w:type="dxa" w:w="1234"/>
          </w:tcPr>
          <w:p>
            <w:pPr>
              <w:jc w:val="right"/>
            </w:pPr>
            <w:r>
              <w:rPr>
                <w:sz w:val="17"/>
              </w:rPr>
              <w:t>3,483</w:t>
            </w:r>
          </w:p>
        </w:tc>
        <w:tc>
          <w:tcPr>
            <w:tcW w:type="dxa" w:w="1234"/>
          </w:tcPr>
          <w:p>
            <w:pPr>
              <w:jc w:val="right"/>
            </w:pPr>
            <w:r>
              <w:rPr>
                <w:sz w:val="17"/>
              </w:rPr>
              <w:t>3,493</w:t>
            </w:r>
          </w:p>
        </w:tc>
        <w:tc>
          <w:tcPr>
            <w:tcW w:type="dxa" w:w="1234"/>
          </w:tcPr>
          <w:p>
            <w:pPr>
              <w:jc w:val="right"/>
            </w:pPr>
            <w:r>
              <w:rPr>
                <w:sz w:val="17"/>
              </w:rPr>
              <w:t>3,493</w:t>
            </w:r>
          </w:p>
        </w:tc>
        <w:tc>
          <w:tcPr>
            <w:tcW w:type="dxa" w:w="1234"/>
          </w:tcPr>
          <w:p>
            <w:pPr>
              <w:jc w:val="right"/>
            </w:pPr>
            <w:r>
              <w:rPr>
                <w:sz w:val="17"/>
              </w:rPr>
              <w:t>3,443</w:t>
            </w:r>
          </w:p>
        </w:tc>
        <w:tc>
          <w:tcPr>
            <w:tcW w:type="dxa" w:w="1234"/>
          </w:tcPr>
          <w:p>
            <w:pPr>
              <w:jc w:val="right"/>
            </w:pPr>
            <w:r>
              <w:rPr>
                <w:sz w:val="17"/>
              </w:rPr>
              <w:t>0.58％</w:t>
            </w:r>
          </w:p>
        </w:tc>
      </w:tr>
      <w:tr>
        <w:tc>
          <w:tcPr>
            <w:tcW w:type="dxa" w:w="1234"/>
          </w:tcPr>
          <w:p>
            <w:r>
              <w:rPr>
                <w:sz w:val="17"/>
              </w:rPr>
              <w:t>75歳以上人口</w:t>
            </w:r>
          </w:p>
        </w:tc>
        <w:tc>
          <w:tcPr>
            <w:tcW w:type="dxa" w:w="1234"/>
          </w:tcPr>
          <w:p>
            <w:pPr>
              <w:jc w:val="right"/>
            </w:pPr>
            <w:r>
              <w:rPr>
                <w:sz w:val="17"/>
              </w:rPr>
              <w:t>1,799</w:t>
            </w:r>
          </w:p>
        </w:tc>
        <w:tc>
          <w:tcPr>
            <w:tcW w:type="dxa" w:w="1234"/>
          </w:tcPr>
          <w:p>
            <w:pPr>
              <w:jc w:val="right"/>
            </w:pPr>
            <w:r>
              <w:rPr>
                <w:sz w:val="17"/>
              </w:rPr>
              <w:t>1,797</w:t>
            </w:r>
          </w:p>
        </w:tc>
        <w:tc>
          <w:tcPr>
            <w:tcW w:type="dxa" w:w="1234"/>
          </w:tcPr>
          <w:p>
            <w:pPr>
              <w:jc w:val="right"/>
            </w:pPr>
            <w:r>
              <w:rPr>
                <w:sz w:val="17"/>
              </w:rPr>
              <w:t>1,814</w:t>
            </w:r>
          </w:p>
        </w:tc>
        <w:tc>
          <w:tcPr>
            <w:tcW w:type="dxa" w:w="1234"/>
          </w:tcPr>
          <w:p>
            <w:pPr>
              <w:jc w:val="right"/>
            </w:pPr>
            <w:r>
              <w:rPr>
                <w:sz w:val="17"/>
              </w:rPr>
              <w:t>1,813</w:t>
            </w:r>
          </w:p>
        </w:tc>
        <w:tc>
          <w:tcPr>
            <w:tcW w:type="dxa" w:w="1234"/>
          </w:tcPr>
          <w:p>
            <w:pPr>
              <w:jc w:val="right"/>
            </w:pPr>
            <w:r>
              <w:rPr>
                <w:sz w:val="17"/>
              </w:rPr>
              <w:t>1,809</w:t>
            </w:r>
          </w:p>
        </w:tc>
        <w:tc>
          <w:tcPr>
            <w:tcW w:type="dxa" w:w="1234"/>
          </w:tcPr>
          <w:p>
            <w:pPr>
              <w:jc w:val="right"/>
            </w:pPr>
            <w:r>
              <w:rPr>
                <w:sz w:val="17"/>
              </w:rPr>
              <w:t>0.39％</w:t>
            </w:r>
          </w:p>
        </w:tc>
      </w:tr>
      <w:tr>
        <w:tc>
          <w:tcPr>
            <w:tcW w:type="dxa" w:w="1234"/>
          </w:tcPr>
          <w:p>
            <w:r>
              <w:rPr>
                <w:sz w:val="17"/>
              </w:rPr>
              <w:t>85歳以上人口</w:t>
            </w:r>
          </w:p>
        </w:tc>
        <w:tc>
          <w:tcPr>
            <w:tcW w:type="dxa" w:w="1234"/>
          </w:tcPr>
          <w:p>
            <w:pPr>
              <w:jc w:val="right"/>
            </w:pPr>
            <w:r>
              <w:rPr>
                <w:sz w:val="17"/>
              </w:rPr>
              <w:t>775</w:t>
            </w:r>
          </w:p>
        </w:tc>
        <w:tc>
          <w:tcPr>
            <w:tcW w:type="dxa" w:w="1234"/>
          </w:tcPr>
          <w:p>
            <w:pPr>
              <w:jc w:val="right"/>
            </w:pPr>
            <w:r>
              <w:rPr>
                <w:sz w:val="17"/>
              </w:rPr>
              <w:t>784</w:t>
            </w:r>
          </w:p>
        </w:tc>
        <w:tc>
          <w:tcPr>
            <w:tcW w:type="dxa" w:w="1234"/>
          </w:tcPr>
          <w:p>
            <w:pPr>
              <w:jc w:val="right"/>
            </w:pPr>
            <w:r>
              <w:rPr>
                <w:sz w:val="17"/>
              </w:rPr>
              <w:t>782</w:t>
            </w:r>
          </w:p>
        </w:tc>
        <w:tc>
          <w:tcPr>
            <w:tcW w:type="dxa" w:w="1234"/>
          </w:tcPr>
          <w:p>
            <w:pPr>
              <w:jc w:val="right"/>
            </w:pPr>
            <w:r>
              <w:rPr>
                <w:sz w:val="17"/>
              </w:rPr>
              <w:t>763</w:t>
            </w:r>
          </w:p>
        </w:tc>
        <w:tc>
          <w:tcPr>
            <w:tcW w:type="dxa" w:w="1234"/>
          </w:tcPr>
          <w:p>
            <w:pPr>
              <w:jc w:val="right"/>
            </w:pPr>
            <w:r>
              <w:rPr>
                <w:sz w:val="17"/>
              </w:rPr>
              <w:t>719</w:t>
            </w:r>
          </w:p>
        </w:tc>
        <w:tc>
          <w:tcPr>
            <w:tcW w:type="dxa" w:w="1234"/>
          </w:tcPr>
          <w:p>
            <w:pPr>
              <w:jc w:val="right"/>
            </w:pPr>
            <w:r>
              <w:rPr>
                <w:sz w:val="17"/>
              </w:rPr>
              <w:t>3.13％</w:t>
            </w:r>
          </w:p>
        </w:tc>
      </w:tr>
      <w:tr>
        <w:tc>
          <w:tcPr>
            <w:tcW w:type="dxa" w:w="1234"/>
          </w:tcPr>
          <w:p>
            <w:r>
              <w:rPr>
                <w:sz w:val="17"/>
              </w:rPr>
              <w:t>要介護（支援）認定者数</w:t>
            </w:r>
          </w:p>
        </w:tc>
        <w:tc>
          <w:tcPr>
            <w:tcW w:type="dxa" w:w="1234"/>
          </w:tcPr>
          <w:p>
            <w:pPr>
              <w:jc w:val="right"/>
            </w:pPr>
            <w:r>
              <w:rPr>
                <w:sz w:val="17"/>
              </w:rPr>
              <w:t>872</w:t>
            </w:r>
          </w:p>
        </w:tc>
        <w:tc>
          <w:tcPr>
            <w:tcW w:type="dxa" w:w="1234"/>
          </w:tcPr>
          <w:p>
            <w:pPr>
              <w:jc w:val="right"/>
            </w:pPr>
            <w:r>
              <w:rPr>
                <w:sz w:val="17"/>
              </w:rPr>
              <w:t>898</w:t>
            </w:r>
          </w:p>
        </w:tc>
        <w:tc>
          <w:tcPr>
            <w:tcW w:type="dxa" w:w="1234"/>
          </w:tcPr>
          <w:p>
            <w:pPr>
              <w:jc w:val="right"/>
            </w:pPr>
            <w:r>
              <w:rPr>
                <w:sz w:val="17"/>
              </w:rPr>
              <w:t>919</w:t>
            </w:r>
          </w:p>
        </w:tc>
        <w:tc>
          <w:tcPr>
            <w:tcW w:type="dxa" w:w="1234"/>
          </w:tcPr>
          <w:p>
            <w:pPr>
              <w:jc w:val="right"/>
            </w:pPr>
            <w:r>
              <w:rPr>
                <w:sz w:val="17"/>
              </w:rPr>
              <w:t>944</w:t>
            </w:r>
          </w:p>
        </w:tc>
        <w:tc>
          <w:tcPr>
            <w:tcW w:type="dxa" w:w="1234"/>
          </w:tcPr>
          <w:p>
            <w:pPr>
              <w:jc w:val="right"/>
            </w:pPr>
            <w:r>
              <w:rPr>
                <w:sz w:val="17"/>
              </w:rPr>
              <w:t>792</w:t>
            </w:r>
          </w:p>
        </w:tc>
        <w:tc>
          <w:tcPr>
            <w:tcW w:type="dxa" w:w="1234"/>
          </w:tcPr>
          <w:p>
            <w:pPr>
              <w:jc w:val="right"/>
            </w:pPr>
            <w:r>
              <w:rPr>
                <w:sz w:val="17"/>
              </w:rPr>
              <w:t>5.90％</w:t>
            </w:r>
          </w:p>
        </w:tc>
      </w:tr>
    </w:tbl>
    <w:p>
      <w:r>
        <w:t>**認定者数は令和6年度944人から令和7年度792人へ152人（16.1％）減っています。**変動係数は第1号被保険者数0.58％に対し認定者数5.90％です。</w:t>
      </w:r>
    </w:p>
    <w:p>
      <w:r>
        <w:t>国保連月報（受給者の状況その1）で月ごとに追うと、**令和7年9月審査分で961人から862人へ、1か月で99人（10.3％）減っています。**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審査年月</w:t>
            </w:r>
          </w:p>
        </w:tc>
        <w:tc>
          <w:tcPr>
            <w:tcW w:type="dxa" w:w="1234"/>
          </w:tcPr>
          <w:p>
            <w:pPr>
              <w:jc w:val="center"/>
            </w:pPr>
            <w:r>
              <w:rPr>
                <w:b/>
                <w:sz w:val="17"/>
              </w:rPr>
              <w:t>令和7年7月</w:t>
            </w:r>
          </w:p>
        </w:tc>
        <w:tc>
          <w:tcPr>
            <w:tcW w:type="dxa" w:w="1234"/>
          </w:tcPr>
          <w:p>
            <w:pPr>
              <w:jc w:val="center"/>
            </w:pPr>
            <w:r>
              <w:rPr>
                <w:b/>
                <w:sz w:val="17"/>
              </w:rPr>
              <w:t>令和7年8月</w:t>
            </w:r>
          </w:p>
        </w:tc>
        <w:tc>
          <w:tcPr>
            <w:tcW w:type="dxa" w:w="1234"/>
          </w:tcPr>
          <w:p>
            <w:pPr>
              <w:jc w:val="center"/>
            </w:pPr>
            <w:r>
              <w:rPr>
                <w:b/>
                <w:sz w:val="17"/>
              </w:rPr>
              <w:t>令和7年9月</w:t>
            </w:r>
          </w:p>
        </w:tc>
        <w:tc>
          <w:tcPr>
            <w:tcW w:type="dxa" w:w="1234"/>
          </w:tcPr>
          <w:p>
            <w:pPr>
              <w:jc w:val="center"/>
            </w:pPr>
            <w:r>
              <w:rPr>
                <w:b/>
                <w:sz w:val="17"/>
              </w:rPr>
              <w:t>令和7年10月</w:t>
            </w:r>
          </w:p>
        </w:tc>
        <w:tc>
          <w:tcPr>
            <w:tcW w:type="dxa" w:w="1234"/>
          </w:tcPr>
          <w:p>
            <w:pPr>
              <w:jc w:val="center"/>
            </w:pPr>
            <w:r>
              <w:rPr>
                <w:b/>
                <w:sz w:val="17"/>
              </w:rPr>
              <w:t>令和8年3月</w:t>
            </w:r>
          </w:p>
        </w:tc>
        <w:tc>
          <w:tcPr>
            <w:tcW w:type="dxa" w:w="1234"/>
          </w:tcPr>
          <w:p>
            <w:pPr>
              <w:jc w:val="center"/>
            </w:pPr>
            <w:r>
              <w:rPr>
                <w:b/>
                <w:sz w:val="17"/>
              </w:rPr>
              <w:t>令和8年7月</w:t>
            </w:r>
          </w:p>
        </w:tc>
      </w:tr>
      <w:tr>
        <w:tc>
          <w:tcPr>
            <w:tcW w:type="dxa" w:w="1234"/>
          </w:tcPr>
          <w:p>
            <w:r>
              <w:rPr>
                <w:sz w:val="17"/>
              </w:rPr>
              <w:t>認定者数（人）</w:t>
            </w:r>
          </w:p>
        </w:tc>
        <w:tc>
          <w:tcPr>
            <w:tcW w:type="dxa" w:w="1234"/>
          </w:tcPr>
          <w:p>
            <w:pPr>
              <w:jc w:val="right"/>
            </w:pPr>
            <w:r>
              <w:rPr>
                <w:sz w:val="17"/>
              </w:rPr>
              <w:t>957</w:t>
            </w:r>
          </w:p>
        </w:tc>
        <w:tc>
          <w:tcPr>
            <w:tcW w:type="dxa" w:w="1234"/>
          </w:tcPr>
          <w:p>
            <w:pPr>
              <w:jc w:val="right"/>
            </w:pPr>
            <w:r>
              <w:rPr>
                <w:sz w:val="17"/>
              </w:rPr>
              <w:t>961</w:t>
            </w:r>
          </w:p>
        </w:tc>
        <w:tc>
          <w:tcPr>
            <w:tcW w:type="dxa" w:w="1234"/>
          </w:tcPr>
          <w:p>
            <w:pPr>
              <w:jc w:val="right"/>
            </w:pPr>
            <w:r>
              <w:rPr>
                <w:sz w:val="17"/>
              </w:rPr>
              <w:t>862</w:t>
            </w:r>
          </w:p>
        </w:tc>
        <w:tc>
          <w:tcPr>
            <w:tcW w:type="dxa" w:w="1234"/>
          </w:tcPr>
          <w:p>
            <w:pPr>
              <w:jc w:val="right"/>
            </w:pPr>
            <w:r>
              <w:rPr>
                <w:sz w:val="17"/>
              </w:rPr>
              <w:t>866</w:t>
            </w:r>
          </w:p>
        </w:tc>
        <w:tc>
          <w:tcPr>
            <w:tcW w:type="dxa" w:w="1234"/>
          </w:tcPr>
          <w:p>
            <w:pPr>
              <w:jc w:val="right"/>
            </w:pPr>
            <w:r>
              <w:rPr>
                <w:sz w:val="17"/>
              </w:rPr>
              <w:t>816</w:t>
            </w:r>
          </w:p>
        </w:tc>
        <w:tc>
          <w:tcPr>
            <w:tcW w:type="dxa" w:w="1234"/>
          </w:tcPr>
          <w:p>
            <w:pPr>
              <w:jc w:val="right"/>
            </w:pPr>
            <w:r>
              <w:rPr>
                <w:sz w:val="17"/>
              </w:rPr>
              <w:t>794</w:t>
            </w:r>
          </w:p>
        </w:tc>
      </w:tr>
      <w:tr>
        <w:tc>
          <w:tcPr>
            <w:tcW w:type="dxa" w:w="1234"/>
          </w:tcPr>
          <w:p>
            <w:r>
              <w:rPr>
                <w:sz w:val="17"/>
              </w:rPr>
              <w:t>うち女性95歳以上</w:t>
            </w:r>
          </w:p>
        </w:tc>
        <w:tc>
          <w:tcPr>
            <w:tcW w:type="dxa" w:w="1234"/>
          </w:tcPr>
          <w:p>
            <w:pPr>
              <w:jc w:val="right"/>
            </w:pPr>
            <w:r>
              <w:rPr>
                <w:sz w:val="17"/>
              </w:rPr>
              <w:t>―</w:t>
            </w:r>
          </w:p>
        </w:tc>
        <w:tc>
          <w:tcPr>
            <w:tcW w:type="dxa" w:w="1234"/>
          </w:tcPr>
          <w:p>
            <w:pPr>
              <w:jc w:val="right"/>
            </w:pPr>
            <w:r>
              <w:rPr>
                <w:sz w:val="17"/>
              </w:rPr>
              <w:t>129</w:t>
            </w:r>
          </w:p>
        </w:tc>
        <w:tc>
          <w:tcPr>
            <w:tcW w:type="dxa" w:w="1234"/>
          </w:tcPr>
          <w:p>
            <w:pPr>
              <w:jc w:val="right"/>
            </w:pPr>
            <w:r>
              <w:rPr>
                <w:sz w:val="17"/>
              </w:rPr>
              <w:t>105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w:t>
            </w:r>
          </w:p>
        </w:tc>
      </w:tr>
    </w:tbl>
    <w:p>
      <w:r>
        <w:t>1か月で10％動く在庫（ストック）はふつうありません。とくに女性の95歳以上が129人から105人へ24人（18.6％）減っており、自然減では説明がつきません。**同じ月の給付件数は1,303件から1,365件へ増えています。**利用が減ったのではなく、計上の仕方が変わった可能性があります。</w:t>
      </w:r>
    </w:p>
    <w:p>
      <w:r>
        <w:t>ただし9月以降も令和8年7月審査分の794人まで下がり続けていますので、**9月の段差と、その後の実勢の減少が重なっている**とみるのが自然です。段差の分だけを補正できれば認定者ベースでも組めますが、計上方法の確認が取れるまでは、1年で16％動く系列を分母に置くのは危ないと判断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分母の置き方</w:t>
            </w:r>
          </w:p>
        </w:tc>
        <w:tc>
          <w:tcPr>
            <w:tcW w:type="dxa" w:w="2160"/>
          </w:tcPr>
          <w:p>
            <w:pPr>
              <w:jc w:val="center"/>
            </w:pPr>
            <w:r>
              <w:rPr>
                <w:b/>
                <w:sz w:val="17"/>
              </w:rPr>
              <w:t>総給付費（3年計）</w:t>
            </w:r>
          </w:p>
        </w:tc>
        <w:tc>
          <w:tcPr>
            <w:tcW w:type="dxa" w:w="2160"/>
          </w:tcPr>
          <w:p>
            <w:pPr>
              <w:jc w:val="center"/>
            </w:pPr>
            <w:r>
              <w:rPr>
                <w:b/>
                <w:sz w:val="17"/>
              </w:rPr>
              <w:t>標準給付費（3年計）</w:t>
            </w:r>
          </w:p>
        </w:tc>
        <w:tc>
          <w:tcPr>
            <w:tcW w:type="dxa" w:w="2160"/>
          </w:tcPr>
          <w:p>
            <w:pPr>
              <w:jc w:val="center"/>
            </w:pPr>
            <w:r>
              <w:rPr>
                <w:b/>
                <w:sz w:val="17"/>
              </w:rPr>
              <w:t>保険料基準額（月額）</w:t>
            </w:r>
          </w:p>
        </w:tc>
      </w:tr>
      <w:tr>
        <w:tc>
          <w:tcPr>
            <w:tcW w:type="dxa" w:w="2160"/>
          </w:tcPr>
          <w:p>
            <w:r>
              <w:rPr>
                <w:sz w:val="17"/>
              </w:rPr>
              <w:t>第1号被保険者数（当方）</w:t>
            </w:r>
          </w:p>
        </w:tc>
        <w:tc>
          <w:tcPr>
            <w:tcW w:type="dxa" w:w="2160"/>
          </w:tcPr>
          <w:p>
            <w:pPr>
              <w:jc w:val="right"/>
            </w:pPr>
            <w:r>
              <w:rPr>
                <w:sz w:val="17"/>
              </w:rPr>
              <w:t>3,048,418千円</w:t>
            </w:r>
          </w:p>
        </w:tc>
        <w:tc>
          <w:tcPr>
            <w:tcW w:type="dxa" w:w="2160"/>
          </w:tcPr>
          <w:p>
            <w:pPr>
              <w:jc w:val="right"/>
            </w:pPr>
            <w:r>
              <w:rPr>
                <w:sz w:val="17"/>
              </w:rPr>
              <w:t>3,286,398千円</w:t>
            </w:r>
          </w:p>
        </w:tc>
        <w:tc>
          <w:tcPr>
            <w:tcW w:type="dxa" w:w="2160"/>
          </w:tcPr>
          <w:p>
            <w:pPr>
              <w:jc w:val="right"/>
            </w:pPr>
            <w:r>
              <w:rPr>
                <w:sz w:val="17"/>
              </w:rPr>
              <w:t>6,569円</w:t>
            </w:r>
          </w:p>
        </w:tc>
      </w:tr>
      <w:tr>
        <w:tc>
          <w:tcPr>
            <w:tcW w:type="dxa" w:w="2160"/>
          </w:tcPr>
          <w:p>
            <w:r>
              <w:rPr>
                <w:sz w:val="17"/>
              </w:rPr>
              <w:t>認定者数（アプリ・見える化の標準）</w:t>
            </w:r>
          </w:p>
        </w:tc>
        <w:tc>
          <w:tcPr>
            <w:tcW w:type="dxa" w:w="2160"/>
          </w:tcPr>
          <w:p>
            <w:pPr>
              <w:jc w:val="right"/>
            </w:pPr>
            <w:r>
              <w:rPr>
                <w:sz w:val="17"/>
              </w:rPr>
              <w:t>2,790,403千円</w:t>
            </w:r>
          </w:p>
        </w:tc>
        <w:tc>
          <w:tcPr>
            <w:tcW w:type="dxa" w:w="2160"/>
          </w:tcPr>
          <w:p>
            <w:pPr>
              <w:jc w:val="right"/>
            </w:pPr>
            <w:r>
              <w:rPr>
                <w:sz w:val="17"/>
              </w:rPr>
              <w:t>3,008,465千円</w:t>
            </w:r>
          </w:p>
        </w:tc>
        <w:tc>
          <w:tcPr>
            <w:tcW w:type="dxa" w:w="2160"/>
          </w:tcPr>
          <w:p>
            <w:pPr>
              <w:jc w:val="right"/>
            </w:pPr>
            <w:r>
              <w:rPr>
                <w:sz w:val="17"/>
              </w:rPr>
              <w:t>6,045円</w:t>
            </w:r>
          </w:p>
        </w:tc>
      </w:tr>
      <w:tr>
        <w:tc>
          <w:tcPr>
            <w:tcW w:type="dxa" w:w="2160"/>
          </w:tcPr>
          <w:p>
            <w:r>
              <w:rPr>
                <w:sz w:val="17"/>
              </w:rPr>
              <w:t>差</w:t>
            </w:r>
          </w:p>
        </w:tc>
        <w:tc>
          <w:tcPr>
            <w:tcW w:type="dxa" w:w="2160"/>
          </w:tcPr>
          <w:p>
            <w:pPr>
              <w:jc w:val="right"/>
            </w:pPr>
            <w:r>
              <w:rPr>
                <w:sz w:val="17"/>
              </w:rPr>
              <w:t>-258,015千円</w:t>
            </w:r>
          </w:p>
        </w:tc>
        <w:tc>
          <w:tcPr>
            <w:tcW w:type="dxa" w:w="2160"/>
          </w:tcPr>
          <w:p>
            <w:pPr>
              <w:jc w:val="right"/>
            </w:pPr>
            <w:r>
              <w:rPr>
                <w:sz w:val="17"/>
              </w:rPr>
              <w:t>-277,932千円</w:t>
            </w:r>
          </w:p>
        </w:tc>
        <w:tc>
          <w:tcPr>
            <w:tcW w:type="dxa" w:w="2160"/>
          </w:tcPr>
          <w:p>
            <w:pPr>
              <w:jc w:val="right"/>
            </w:pPr>
            <w:r>
              <w:rPr>
                <w:sz w:val="17"/>
              </w:rPr>
              <w:t>-524円</w:t>
            </w:r>
          </w:p>
        </w:tc>
      </w:tr>
    </w:tbl>
    <w:p>
      <w:r>
        <w:t>**どちらを採るかは、令和7年8〜9月の認定者数の計上方法が変わったかどうかで決まります。**変わっていないなら認定者ベースが正しく、変わっているなら当方の第1号被保険者ベースが安全です。資料一覧の B17（データ訂正・欠測・異常値の説明）で町に確認する項目です。</w:t>
      </w:r>
    </w:p>
    <w:p>
      <w:r>
        <w:t>見える化システムに入力すると認定者ベースの推計が出ますので、当方の値と一致しません。**この差をどう扱うか（施策反映で寄せるか、直接入力に切り替えるか、認定者ベースを採るか）を入力の前に決めてください。**</w:t>
      </w:r>
    </w:p>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ご確認いただきたいこと</w:t>
      </w:r>
    </w:p>
    <w:p>
      <w:r>
        <w:t>1　需要の分母を、認定者数と第1号被保険者数のどちらで置くか。小野町では保険料基準額で月額524円の差が出ます。令和7年8〜9月の認定者数の計上方法が変わったかどうかの確認（B17）が先です。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