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r>
        <w:rPr>
          <w:rFonts w:ascii="BIZ UDPゴシック" w:hAnsi="BIZ UDPゴシック" w:eastAsia="BIZ UDPゴシック"/>
          <w:b w:val="0"/>
          <w:sz w:val="21"/>
        </w:rPr>
        <w:t>■　福島県の計画との整合</w:t>
      </w:r>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r>
        <w:rPr>
          <w:rFonts w:ascii="BIZ UDPゴシック" w:hAnsi="BIZ UDPゴシック" w:eastAsia="BIZ UDPゴシック"/>
          <w:b w:val="0"/>
          <w:sz w:val="21"/>
        </w:rPr>
        <w:t>■　県が定める区域と本計画でいう圏域</w:t>
      </w:r>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r>
        <w:rPr>
          <w:rFonts w:ascii="BIZ UDPゴシック" w:hAnsi="BIZ UDPゴシック" w:eastAsia="BIZ UDPゴシック"/>
          <w:b w:val="0"/>
          <w:sz w:val="21"/>
        </w:rPr>
        <w:t>■　県障がい者計画の基本目標と本計画の施策体系</w:t>
      </w:r>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おり、本村に独自の条例がないため、差別の解消（基本施策①）と意思疎通支援はこれらの県条例を根拠として記述できます。</w:t>
            </w:r>
          </w:p>
        </w:tc>
      </w:tr>
    </w:tbl>
    <w:p/>
    <w:p>
      <w:pPr>
        <w:pStyle w:val="3"/>
      </w:pPr>
      <w:r>
        <w:rPr>
          <w:rFonts w:ascii="BIZ UDPゴシック" w:hAnsi="BIZ UDPゴシック" w:eastAsia="BIZ UDPゴシック"/>
          <w:b w:val="0"/>
          <w:sz w:val="21"/>
        </w:rPr>
        <w:t>■　県の成果目標との関係</w:t>
      </w:r>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r>
        <w:rPr>
          <w:rFonts w:ascii="BIZ UDPゴシック" w:hAnsi="BIZ UDPゴシック" w:eastAsia="BIZ UDPゴシック"/>
          <w:b w:val="0"/>
          <w:sz w:val="21"/>
        </w:rPr>
        <w:t>■　評価の体制</w:t>
      </w:r>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r>
        <w:rPr>
          <w:rFonts w:ascii="BIZ UDPゴシック" w:hAnsi="BIZ UDPゴシック" w:eastAsia="BIZ UDPゴシック"/>
          <w:b w:val="0"/>
          <w:sz w:val="21"/>
        </w:rPr>
        <w:t>■　評価のスケジュール</w:t>
      </w:r>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r>
        <w:rPr>
          <w:rFonts w:ascii="BIZ UDPゴシック" w:hAnsi="BIZ UDPゴシック" w:eastAsia="BIZ UDPゴシック"/>
          <w:b w:val="0"/>
          <w:sz w:val="21"/>
        </w:rPr>
        <w:t>■　目標等の管理シート</w:t>
      </w:r>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r>
        <w:rPr>
          <w:rFonts w:ascii="BIZ UDPゴシック" w:hAnsi="BIZ UDPゴシック" w:eastAsia="BIZ UDPゴシック"/>
          <w:b w:val="0"/>
          <w:sz w:val="21"/>
        </w:rPr>
        <w:t>■　結果の公表</w:t>
      </w:r>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r>
        <w:rPr>
          <w:rFonts w:ascii="BIZ UDPゴシック" w:hAnsi="BIZ UDPゴシック" w:eastAsia="BIZ UDPゴシック"/>
          <w:b w:val="0"/>
          <w:sz w:val="21"/>
        </w:rPr>
        <w:t>７　障がい福祉サービスの体系</w:t>
      </w:r>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r>
        <w:rPr>
          <w:rFonts w:ascii="BIZ UDPゴシック" w:hAnsi="BIZ UDPゴシック" w:eastAsia="BIZ UDPゴシック"/>
          <w:b w:val="0"/>
          <w:sz w:val="21"/>
        </w:rPr>
        <w:t>■　調査の概要</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r>
        <w:rPr>
          <w:rFonts w:ascii="BIZ UDPゴシック" w:hAnsi="BIZ UDPゴシック" w:eastAsia="BIZ UDPゴシック"/>
          <w:b w:val="0"/>
          <w:sz w:val="21"/>
        </w:rPr>
        <w:t>■　回答者の特徴と読み取りにあたっての留意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r>
        <w:rPr>
          <w:rFonts w:ascii="BIZ UDPゴシック" w:hAnsi="BIZ UDPゴシック" w:eastAsia="BIZ UDPゴシック"/>
          <w:b w:val="0"/>
          <w:sz w:val="21"/>
        </w:rPr>
        <w:t>■　調査の実施設計（令和８年７月７日の打合せによる）</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pStyle w:val="3"/>
      </w:pPr>
      <w:r>
        <w:rPr>
          <w:rFonts w:ascii="BIZ UDPゴシック" w:hAnsi="BIZ UDPゴシック" w:eastAsia="BIZ UDPゴシック"/>
          <w:b w:val="0"/>
          <w:sz w:val="21"/>
        </w:rPr>
        <w:t>■　国が示す推計方法との関係</w:t>
      </w:r>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r>
        <w:rPr>
          <w:rFonts w:ascii="BIZ UDPゴシック" w:hAnsi="BIZ UDPゴシック" w:eastAsia="BIZ UDPゴシック"/>
          <w:b w:val="0"/>
          <w:sz w:val="21"/>
        </w:rPr>
        <w:t>■　障害支援区分別人数による見込量の検証</w:t>
      </w:r>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18歳到達時の医療的ケア児等の扱い</w:t>
      </w:r>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r>
        <w:rPr>
          <w:rFonts w:ascii="BIZ UDPゴシック" w:hAnsi="BIZ UDPゴシック" w:eastAsia="BIZ UDPゴシック"/>
          <w:b w:val="0"/>
          <w:sz w:val="21"/>
        </w:rPr>
        <w:t>■　事業ごとの実施に関する考え方</w:t>
      </w:r>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r>
        <w:rPr>
          <w:rFonts w:ascii="BIZ UDPゴシック" w:hAnsi="BIZ UDPゴシック" w:eastAsia="BIZ UDPゴシック"/>
          <w:b w:val="0"/>
          <w:sz w:val="21"/>
        </w:rPr>
        <w:t>10　活動指標</w:t>
      </w:r>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r>
        <w:rPr>
          <w:rFonts w:ascii="BIZ UDPゴシック" w:hAnsi="BIZ UDPゴシック" w:eastAsia="BIZ UDPゴシック"/>
          <w:b w:val="0"/>
          <w:sz w:val="21"/>
        </w:rPr>
        <w:t>■　サービスの見込量に相当する活動指標</w:t>
      </w:r>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r>
        <w:rPr>
          <w:rFonts w:ascii="BIZ UDPゴシック" w:hAnsi="BIZ UDPゴシック" w:eastAsia="BIZ UDPゴシック"/>
          <w:b w:val="0"/>
          <w:sz w:val="21"/>
        </w:rPr>
        <w:t>■　その他の活動指標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r>
        <w:rPr>
          <w:rFonts w:ascii="BIZ UDPゴシック" w:hAnsi="BIZ UDPゴシック" w:eastAsia="BIZ UDPゴシック"/>
          <w:b w:val="0"/>
          <w:sz w:val="21"/>
        </w:rPr>
        <w:t>■　本村では設定しない活動指標</w:t>
      </w:r>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11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12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r>
        <w:rPr>
          <w:rFonts w:ascii="BIZ UDPゴシック" w:hAnsi="BIZ UDPゴシック" w:eastAsia="BIZ UDPゴシック"/>
          <w:b w:val="0"/>
          <w:sz w:val="21"/>
        </w:rPr>
        <w:t>13　障がい福祉人材の確保・定着、生産性向上及び経営基盤の確立</w:t>
      </w:r>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r>
        <w:rPr>
          <w:rFonts w:ascii="BIZ UDPゴシック" w:hAnsi="BIZ UDPゴシック" w:eastAsia="BIZ UDPゴシック"/>
          <w:b w:val="0"/>
          <w:sz w:val="21"/>
        </w:rPr>
        <w:t>■　意思決定支援の推進</w:t>
      </w:r>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r>
        <w:rPr>
          <w:rFonts w:ascii="BIZ UDPゴシック" w:hAnsi="BIZ UDPゴシック" w:eastAsia="BIZ UDPゴシック"/>
          <w:b w:val="0"/>
          <w:sz w:val="21"/>
        </w:rPr>
        <w:t>14　関係機関との連携</w:t>
      </w:r>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r>
        <w:rPr>
          <w:rFonts w:ascii="BIZ UDPゴシック" w:hAnsi="BIZ UDPゴシック" w:eastAsia="BIZ UDPゴシック"/>
          <w:b w:val="0"/>
          <w:sz w:val="21"/>
        </w:rPr>
        <w:t>４　用語解説</w:t>
      </w:r>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