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令和8年10月15日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次に着手するもの（10月16日（金））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町・国・県の回答を待たずに進められる作業は35件・98.0時間分あり、うち31件（85.0時間）が令和8年10月15日までに済んでいます。</w:t>
      </w:r>
      <w:r>
        <w:rPr>
          <w:rFonts w:ascii="游ゴシック" w:hAnsi="游ゴシック" w:eastAsia="游ゴシック"/>
          <w:b w:val="0"/>
          <w:i w:val="0"/>
          <w:sz w:val="21"/>
        </w:rPr>
        <w:t>令和8年10月16日は残り4件のうち1件（6.0時間）に着手します。</w:t>
      </w:r>
    </w:p>
    <w:p>
      <w:pPr>
        <w:spacing w:before="60" w:after="60"/>
      </w:pPr>
      <w:r>
        <w:rPr>
          <w:rFonts w:ascii="游ゴシック" w:hAnsi="游ゴシック" w:eastAsia="游ゴシック"/>
          <w:b/>
          <w:i w:val="0"/>
          <w:sz w:val="21"/>
        </w:rPr>
        <w:t>進捗の乖離を測ったところ、高齢者計画は予定より+11.1ポイント、障がい計画は+0.2ポイントでした。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keepNext/>
              <w:spacing w:before="20" w:after="20"/>
              <w:jc w:val="right"/>
            </w:pPr>
            <w:r>
              <w:rPr>
                <w:rFonts w:ascii="游ゴシック" w:hAnsi="游ゴシック" w:eastAsia="游ゴシック"/>
                <w:b w:val="0"/>
                <w:i w:val="0"/>
                <w:sz w:val="17"/>
              </w:rPr>
              <w:t>4</w:t>
            </w:r>
          </w:p>
        </w:tc>
        <w:tc>
          <w:tcPr>
            <w:tcW w:type="dxa" w:w="1247"/>
            <w:vAlign w:val="center"/>
          </w:tcPr>
          <w:p>
            <w:pPr>
              <w:keepNext/>
              <w:spacing w:before="20" w:after="20"/>
            </w:pPr>
            <w:r>
              <w:rPr>
                <w:rFonts w:ascii="游ゴシック" w:hAnsi="游ゴシック" w:eastAsia="游ゴシック"/>
                <w:b w:val="0"/>
                <w:i w:val="0"/>
                <w:sz w:val="17"/>
              </w:rPr>
              <w:t>決定2</w:t>
            </w:r>
          </w:p>
        </w:tc>
        <w:tc>
          <w:tcPr>
            <w:tcW w:type="dxa" w:w="3402"/>
            <w:vAlign w:val="center"/>
          </w:tcPr>
          <w:p>
            <w:pPr>
              <w:keepNext/>
              <w:spacing w:before="20" w:after="20"/>
            </w:pPr>
            <w:r>
              <w:rPr>
                <w:rFonts w:ascii="游ゴシック" w:hAnsi="游ゴシック" w:eastAsia="游ゴシック"/>
                <w:b/>
                <w:i w:val="0"/>
                <w:sz w:val="17"/>
              </w:rPr>
              <w:t>準備基金の残高と取崩額</w:t>
            </w:r>
          </w:p>
        </w:tc>
        <w:tc>
          <w:tcPr>
            <w:tcW w:type="dxa" w:w="2268"/>
            <w:vAlign w:val="center"/>
          </w:tcPr>
          <w:p>
            <w:pPr>
              <w:keepNext/>
              <w:spacing w:before="20" w:after="20"/>
            </w:pPr>
            <w:r>
              <w:rPr>
                <w:rFonts w:ascii="游ゴシック" w:hAnsi="游ゴシック" w:eastAsia="游ゴシック"/>
                <w:b w:val="0"/>
                <w:i w:val="0"/>
                <w:sz w:val="17"/>
              </w:rPr>
              <w:t>S（保険料に直結）</w:t>
            </w:r>
          </w:p>
        </w:tc>
        <w:tc>
          <w:tcPr>
            <w:tcW w:type="dxa" w:w="2098"/>
            <w:vAlign w:val="center"/>
          </w:tcPr>
          <w:p>
            <w:pPr>
              <w:keepNext/>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pStyle w:val="Heading1"/>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pStyle w:val="Heading2"/>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keepNext/>
              <w:spacing w:before="20" w:after="20"/>
            </w:pPr>
            <w:r>
              <w:rPr>
                <w:rFonts w:ascii="游ゴシック" w:hAnsi="游ゴシック" w:eastAsia="游ゴシック"/>
                <w:b w:val="0"/>
                <w:i w:val="0"/>
                <w:sz w:val="17"/>
              </w:rPr>
              <w:t>B</w:t>
            </w:r>
          </w:p>
        </w:tc>
        <w:tc>
          <w:tcPr>
            <w:tcW w:type="dxa" w:w="1701"/>
            <w:vAlign w:val="center"/>
          </w:tcPr>
          <w:p>
            <w:pPr>
              <w:keepNext/>
              <w:spacing w:before="20" w:after="20"/>
            </w:pPr>
            <w:r>
              <w:rPr>
                <w:rFonts w:ascii="游ゴシック" w:hAnsi="游ゴシック" w:eastAsia="游ゴシック"/>
                <w:b w:val="0"/>
                <w:i w:val="0"/>
                <w:sz w:val="17"/>
              </w:rPr>
              <w:t>交付金の得点に影響</w:t>
            </w:r>
          </w:p>
        </w:tc>
        <w:tc>
          <w:tcPr>
            <w:tcW w:type="dxa" w:w="510"/>
            <w:vAlign w:val="center"/>
          </w:tcPr>
          <w:p>
            <w:pPr>
              <w:keepNext/>
              <w:spacing w:before="20" w:after="20"/>
              <w:jc w:val="right"/>
            </w:pPr>
            <w:r>
              <w:rPr>
                <w:rFonts w:ascii="游ゴシック" w:hAnsi="游ゴシック" w:eastAsia="游ゴシック"/>
                <w:b w:val="0"/>
                <w:i w:val="0"/>
                <w:sz w:val="17"/>
              </w:rPr>
              <w:t>2</w:t>
            </w:r>
          </w:p>
        </w:tc>
        <w:tc>
          <w:tcPr>
            <w:tcW w:type="dxa" w:w="5839"/>
            <w:vAlign w:val="center"/>
          </w:tcPr>
          <w:p>
            <w:pPr>
              <w:keepNext/>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keepNext/>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pStyle w:val="Heading2"/>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keepNext/>
              <w:spacing w:before="20" w:after="20"/>
            </w:pPr>
            <w:r>
              <w:rPr>
                <w:rFonts w:ascii="游ゴシック" w:hAnsi="游ゴシック" w:eastAsia="游ゴシック"/>
                <w:b w:val="0"/>
                <w:i w:val="0"/>
                <w:sz w:val="17"/>
              </w:rPr>
              <w:t>制度改正・県計画との整合</w:t>
            </w:r>
          </w:p>
        </w:tc>
        <w:tc>
          <w:tcPr>
            <w:tcW w:type="dxa" w:w="567"/>
            <w:vAlign w:val="center"/>
          </w:tcPr>
          <w:p>
            <w:pPr>
              <w:keepNext/>
              <w:spacing w:before="20" w:after="20"/>
              <w:jc w:val="right"/>
            </w:pPr>
            <w:r>
              <w:rPr>
                <w:rFonts w:ascii="游ゴシック" w:hAnsi="游ゴシック" w:eastAsia="游ゴシック"/>
                <w:b w:val="0"/>
                <w:i w:val="0"/>
                <w:sz w:val="17"/>
              </w:rPr>
              <w:t>3</w:t>
            </w:r>
          </w:p>
        </w:tc>
        <w:tc>
          <w:tcPr>
            <w:tcW w:type="dxa" w:w="680"/>
            <w:vAlign w:val="center"/>
          </w:tcPr>
          <w:p>
            <w:pPr>
              <w:keepNext/>
              <w:spacing w:before="20" w:after="20"/>
              <w:jc w:val="right"/>
            </w:pPr>
            <w:r>
              <w:rPr>
                <w:rFonts w:ascii="游ゴシック" w:hAnsi="游ゴシック" w:eastAsia="游ゴシック"/>
                <w:b w:val="0"/>
                <w:i w:val="0"/>
                <w:sz w:val="17"/>
              </w:rPr>
              <w:t>20</w:t>
            </w:r>
          </w:p>
        </w:tc>
        <w:tc>
          <w:tcPr>
            <w:tcW w:type="dxa" w:w="567"/>
            <w:vAlign w:val="center"/>
          </w:tcPr>
          <w:p>
            <w:pPr>
              <w:keepNext/>
              <w:spacing w:before="20" w:after="20"/>
              <w:jc w:val="right"/>
            </w:pPr>
            <w:r>
              <w:rPr>
                <w:rFonts w:ascii="游ゴシック" w:hAnsi="游ゴシック" w:eastAsia="游ゴシック"/>
                <w:b w:val="0"/>
                <w:i w:val="0"/>
                <w:sz w:val="17"/>
              </w:rPr>
              <w:t>0</w:t>
            </w:r>
          </w:p>
        </w:tc>
        <w:tc>
          <w:tcPr>
            <w:tcW w:type="dxa" w:w="6009"/>
            <w:vAlign w:val="center"/>
          </w:tcPr>
          <w:p>
            <w:pPr>
              <w:keepNext/>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pStyle w:val="Heading2"/>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pStyle w:val="Heading2"/>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30</w:t>
            </w:r>
          </w:p>
        </w:tc>
        <w:tc>
          <w:tcPr>
            <w:tcW w:type="dxa" w:w="1020"/>
            <w:vAlign w:val="center"/>
          </w:tcPr>
          <w:p>
            <w:pPr>
              <w:keepNext/>
              <w:spacing w:before="20" w:after="20"/>
            </w:pPr>
            <w:r>
              <w:rPr>
                <w:rFonts w:ascii="游ゴシック" w:hAnsi="游ゴシック" w:eastAsia="游ゴシック"/>
                <w:b w:val="0"/>
                <w:i w:val="0"/>
                <w:sz w:val="17"/>
              </w:rPr>
              <w:t>決定9</w:t>
            </w:r>
          </w:p>
        </w:tc>
        <w:tc>
          <w:tcPr>
            <w:tcW w:type="dxa" w:w="5102"/>
            <w:vAlign w:val="center"/>
          </w:tcPr>
          <w:p>
            <w:pPr>
              <w:keepNext/>
              <w:spacing w:before="20" w:after="20"/>
            </w:pPr>
            <w:r>
              <w:rPr>
                <w:rFonts w:ascii="游ゴシック" w:hAnsi="游ゴシック" w:eastAsia="游ゴシック"/>
                <w:b/>
                <w:i w:val="0"/>
                <w:sz w:val="17"/>
              </w:rPr>
              <w:t>介護給付適正化計画の位置づけ（案A・B・C）</w:t>
            </w:r>
          </w:p>
        </w:tc>
        <w:tc>
          <w:tcPr>
            <w:tcW w:type="dxa" w:w="567"/>
            <w:vAlign w:val="center"/>
          </w:tcPr>
          <w:p>
            <w:pPr>
              <w:keepNext/>
              <w:spacing w:before="20" w:after="20"/>
            </w:pPr>
            <w:r>
              <w:rPr>
                <w:rFonts w:ascii="游ゴシック" w:hAnsi="游ゴシック" w:eastAsia="游ゴシック"/>
                <w:b w:val="0"/>
                <w:i w:val="0"/>
                <w:sz w:val="17"/>
              </w:rPr>
              <w:t>B</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11</w:t>
            </w:r>
          </w:p>
        </w:tc>
        <w:tc>
          <w:tcPr>
            <w:tcW w:type="dxa" w:w="1020"/>
            <w:vAlign w:val="center"/>
          </w:tcPr>
          <w:p>
            <w:pPr>
              <w:keepNext/>
              <w:spacing w:before="20" w:after="20"/>
            </w:pPr>
            <w:r>
              <w:rPr>
                <w:rFonts w:ascii="游ゴシック" w:hAnsi="游ゴシック" w:eastAsia="游ゴシック"/>
                <w:b w:val="0"/>
                <w:i w:val="0"/>
                <w:sz w:val="17"/>
              </w:rPr>
              <w:t>国・県3</w:t>
            </w:r>
          </w:p>
        </w:tc>
        <w:tc>
          <w:tcPr>
            <w:tcW w:type="dxa" w:w="5102"/>
            <w:vAlign w:val="center"/>
          </w:tcPr>
          <w:p>
            <w:pPr>
              <w:keepNext/>
              <w:spacing w:before="20" w:after="20"/>
            </w:pPr>
            <w:r>
              <w:rPr>
                <w:rFonts w:ascii="游ゴシック" w:hAnsi="游ゴシック" w:eastAsia="游ゴシック"/>
                <w:b w:val="0"/>
                <w:i w:val="0"/>
                <w:sz w:val="17"/>
              </w:rPr>
              <w:t>調整交付金の見込交付割合</w:t>
            </w:r>
          </w:p>
        </w:tc>
        <w:tc>
          <w:tcPr>
            <w:tcW w:type="dxa" w:w="567"/>
            <w:vAlign w:val="center"/>
          </w:tcPr>
          <w:p>
            <w:pPr>
              <w:keepNext/>
              <w:spacing w:before="20" w:after="20"/>
            </w:pPr>
            <w:r>
              <w:rPr>
                <w:rFonts w:ascii="游ゴシック" w:hAnsi="游ゴシック" w:eastAsia="游ゴシック"/>
                <w:b w:val="0"/>
                <w:i w:val="0"/>
                <w:sz w:val="17"/>
              </w:rPr>
              <w:t>S</w:t>
            </w:r>
          </w:p>
        </w:tc>
        <w:tc>
          <w:tcPr>
            <w:tcW w:type="dxa" w:w="2438"/>
            <w:vAlign w:val="center"/>
          </w:tcPr>
          <w:p>
            <w:pPr>
              <w:keepNext/>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keepNext/>
              <w:spacing w:before="20" w:after="20"/>
              <w:jc w:val="right"/>
            </w:pPr>
            <w:r>
              <w:rPr>
                <w:rFonts w:ascii="游ゴシック" w:hAnsi="游ゴシック" w:eastAsia="游ゴシック"/>
                <w:b w:val="0"/>
                <w:i w:val="0"/>
                <w:sz w:val="17"/>
              </w:rPr>
              <w:t>21</w:t>
            </w:r>
          </w:p>
        </w:tc>
        <w:tc>
          <w:tcPr>
            <w:tcW w:type="dxa" w:w="1020"/>
            <w:vAlign w:val="center"/>
          </w:tcPr>
          <w:p>
            <w:pPr>
              <w:keepNext/>
              <w:spacing w:before="20" w:after="20"/>
            </w:pPr>
            <w:r>
              <w:rPr>
                <w:rFonts w:ascii="游ゴシック" w:hAnsi="游ゴシック" w:eastAsia="游ゴシック"/>
                <w:b w:val="0"/>
                <w:i w:val="0"/>
                <w:sz w:val="17"/>
              </w:rPr>
              <w:t>国・県5</w:t>
            </w:r>
          </w:p>
        </w:tc>
        <w:tc>
          <w:tcPr>
            <w:tcW w:type="dxa" w:w="5102"/>
            <w:vAlign w:val="center"/>
          </w:tcPr>
          <w:p>
            <w:pPr>
              <w:keepNext/>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keepNext/>
              <w:spacing w:before="20" w:after="20"/>
            </w:pPr>
            <w:r>
              <w:rPr>
                <w:rFonts w:ascii="游ゴシック" w:hAnsi="游ゴシック" w:eastAsia="游ゴシック"/>
                <w:b w:val="0"/>
                <w:i w:val="0"/>
                <w:sz w:val="17"/>
              </w:rPr>
              <w:t>A</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pStyle w:val="Heading1"/>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keepNext/>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keepNext/>
              <w:spacing w:before="20" w:after="20"/>
              <w:jc w:val="right"/>
            </w:pPr>
            <w:r>
              <w:rPr>
                <w:rFonts w:ascii="游ゴシック" w:hAnsi="游ゴシック" w:eastAsia="游ゴシック"/>
                <w:b w:val="0"/>
                <w:i w:val="0"/>
                <w:sz w:val="17"/>
              </w:rPr>
              <w:t>77</w:t>
            </w:r>
          </w:p>
        </w:tc>
        <w:tc>
          <w:tcPr>
            <w:tcW w:type="dxa" w:w="1247"/>
            <w:vAlign w:val="center"/>
          </w:tcPr>
          <w:p>
            <w:pPr>
              <w:keepNext/>
              <w:spacing w:before="20" w:after="20"/>
              <w:jc w:val="right"/>
            </w:pPr>
            <w:r>
              <w:rPr>
                <w:rFonts w:ascii="游ゴシック" w:hAnsi="游ゴシック" w:eastAsia="游ゴシック"/>
                <w:b w:val="0"/>
                <w:i w:val="0"/>
                <w:sz w:val="17"/>
              </w:rPr>
              <w:t>60.0％</w:t>
            </w:r>
          </w:p>
        </w:tc>
        <w:tc>
          <w:tcPr>
            <w:tcW w:type="dxa" w:w="1247"/>
            <w:vAlign w:val="center"/>
          </w:tcPr>
          <w:p>
            <w:pPr>
              <w:keepNext/>
              <w:spacing w:before="20" w:after="20"/>
              <w:jc w:val="right"/>
            </w:pPr>
            <w:r>
              <w:rPr>
                <w:rFonts w:ascii="游ゴシック" w:hAnsi="游ゴシック" w:eastAsia="游ゴシック"/>
                <w:b w:val="0"/>
                <w:i w:val="0"/>
                <w:sz w:val="17"/>
              </w:rPr>
              <w:t>71.2％</w:t>
            </w:r>
          </w:p>
        </w:tc>
        <w:tc>
          <w:tcPr>
            <w:tcW w:type="dxa" w:w="1020"/>
            <w:vAlign w:val="center"/>
          </w:tcPr>
          <w:p>
            <w:pPr>
              <w:keepNext/>
              <w:spacing w:before="20" w:after="20"/>
              <w:jc w:val="right"/>
            </w:pPr>
            <w:r>
              <w:rPr>
                <w:rFonts w:ascii="游ゴシック" w:hAnsi="游ゴシック" w:eastAsia="游ゴシック"/>
                <w:b w:val="0"/>
                <w:i w:val="0"/>
                <w:sz w:val="17"/>
              </w:rPr>
              <w:t>+11.1pt</w:t>
            </w:r>
          </w:p>
        </w:tc>
        <w:tc>
          <w:tcPr>
            <w:tcW w:type="dxa" w:w="1191"/>
            <w:vAlign w:val="center"/>
          </w:tcPr>
          <w:p>
            <w:pPr>
              <w:keepNext/>
              <w:spacing w:before="20" w:after="20"/>
              <w:jc w:val="right"/>
            </w:pPr>
            <w:r>
              <w:rPr>
                <w:rFonts w:ascii="游ゴシック" w:hAnsi="游ゴシック" w:eastAsia="游ゴシック"/>
                <w:b w:val="0"/>
                <w:i w:val="0"/>
                <w:sz w:val="17"/>
              </w:rPr>
              <w:t>4件</w:t>
            </w:r>
          </w:p>
        </w:tc>
        <w:tc>
          <w:tcPr>
            <w:tcW w:type="dxa" w:w="1134"/>
            <w:vAlign w:val="center"/>
          </w:tcPr>
          <w:p>
            <w:pPr>
              <w:keepNext/>
              <w:spacing w:before="20" w:after="20"/>
              <w:jc w:val="right"/>
            </w:pPr>
            <w:r>
              <w:rPr>
                <w:rFonts w:ascii="游ゴシック" w:hAnsi="游ゴシック" w:eastAsia="游ゴシック"/>
                <w:b w:val="0"/>
                <w:i w:val="0"/>
                <w:sz w:val="17"/>
              </w:rPr>
              <w:t>5件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57.3％</w:t>
            </w:r>
          </w:p>
        </w:tc>
        <w:tc>
          <w:tcPr>
            <w:tcW w:type="dxa" w:w="1247"/>
            <w:vAlign w:val="center"/>
          </w:tcPr>
          <w:p>
            <w:pPr>
              <w:spacing w:before="20" w:after="20"/>
              <w:jc w:val="right"/>
            </w:pPr>
            <w:r>
              <w:rPr>
                <w:rFonts w:ascii="游ゴシック" w:hAnsi="游ゴシック" w:eastAsia="游ゴシック"/>
                <w:b w:val="0"/>
                <w:i w:val="0"/>
                <w:sz w:val="17"/>
              </w:rPr>
              <w:t>57.4％</w:t>
            </w:r>
          </w:p>
        </w:tc>
        <w:tc>
          <w:tcPr>
            <w:tcW w:type="dxa" w:w="1020"/>
            <w:vAlign w:val="center"/>
          </w:tcPr>
          <w:p>
            <w:pPr>
              <w:spacing w:before="20" w:after="20"/>
              <w:jc w:val="right"/>
            </w:pPr>
            <w:r>
              <w:rPr>
                <w:rFonts w:ascii="游ゴシック" w:hAnsi="游ゴシック" w:eastAsia="游ゴシック"/>
                <w:b w:val="0"/>
                <w:i w:val="0"/>
                <w:sz w:val="17"/>
              </w:rPr>
              <w:t>+0.2pt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4件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予定進捗率は、予定開始の月初から予定完了の月末までを直線で見たときの令和8年10月15日時点の値。判定は差が±10ポイント以内なら「おおむね予定どおり」とした。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高齢者計画は予定を+11.1ポイント上回っています。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一方で障がい計画は+0.2ポイント下回っており、こちらが本業務全体の弱いところです。</w:t>
      </w:r>
    </w:p>
    <w:p>
      <w:pPr>
        <w:pStyle w:val="Heading2"/>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pStyle w:val="Heading3"/>
        <w:keepNext/>
        <w:spacing w:before="180" w:after="80"/>
      </w:pPr>
      <w:r>
        <w:rPr>
          <w:rFonts w:ascii="游ゴシック" w:hAnsi="游ゴシック" w:eastAsia="游ゴシック"/>
          <w:b/>
          <w:i w:val="0"/>
          <w:color w:val="1F4D78"/>
          <w:sz w:val="22"/>
        </w:rPr>
        <w:t>高齢者計画（9件）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73％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82％</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82％</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49％</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keepNext/>
              <w:spacing w:before="20" w:after="20"/>
            </w:pPr>
            <w:r>
              <w:rPr>
                <w:rFonts w:ascii="游ゴシック" w:hAnsi="游ゴシック" w:eastAsia="游ゴシック"/>
                <w:b w:val="0"/>
                <w:i w:val="0"/>
                <w:sz w:val="17"/>
              </w:rPr>
              <w:t>3-2</w:t>
            </w:r>
          </w:p>
        </w:tc>
        <w:tc>
          <w:tcPr>
            <w:tcW w:type="dxa" w:w="1928"/>
            <w:vAlign w:val="center"/>
          </w:tcPr>
          <w:p>
            <w:pPr>
              <w:keepNext/>
              <w:spacing w:before="20" w:after="20"/>
            </w:pPr>
            <w:r>
              <w:rPr>
                <w:rFonts w:ascii="游ゴシック" w:hAnsi="游ゴシック" w:eastAsia="游ゴシック"/>
                <w:b w:val="0"/>
                <w:i w:val="0"/>
                <w:sz w:val="17"/>
              </w:rPr>
              <w:t>町の給付実績との突合</w:t>
            </w:r>
          </w:p>
        </w:tc>
        <w:tc>
          <w:tcPr>
            <w:tcW w:type="dxa" w:w="850"/>
            <w:vAlign w:val="center"/>
          </w:tcPr>
          <w:p>
            <w:pPr>
              <w:keepNext/>
              <w:spacing w:before="20" w:after="20"/>
            </w:pPr>
            <w:r>
              <w:rPr>
                <w:rFonts w:ascii="游ゴシック" w:hAnsi="游ゴシック" w:eastAsia="游ゴシック"/>
                <w:b w:val="0"/>
                <w:i w:val="0"/>
                <w:sz w:val="17"/>
              </w:rPr>
              <w:t>受託者</w:t>
            </w:r>
          </w:p>
        </w:tc>
        <w:tc>
          <w:tcPr>
            <w:tcW w:type="dxa" w:w="850"/>
            <w:vAlign w:val="center"/>
          </w:tcPr>
          <w:p>
            <w:pPr>
              <w:keepNext/>
              <w:spacing w:before="20" w:after="20"/>
            </w:pPr>
            <w:r>
              <w:rPr>
                <w:rFonts w:ascii="游ゴシック" w:hAnsi="游ゴシック" w:eastAsia="游ゴシック"/>
                <w:b w:val="0"/>
                <w:i w:val="0"/>
                <w:sz w:val="17"/>
              </w:rPr>
              <w:t>2026-10</w:t>
            </w:r>
          </w:p>
        </w:tc>
        <w:tc>
          <w:tcPr>
            <w:tcW w:type="dxa" w:w="624"/>
            <w:vAlign w:val="center"/>
          </w:tcPr>
          <w:p>
            <w:pPr>
              <w:keepNext/>
              <w:spacing w:before="20" w:after="20"/>
              <w:jc w:val="right"/>
            </w:pPr>
            <w:r>
              <w:rPr>
                <w:rFonts w:ascii="游ゴシック" w:hAnsi="游ゴシック" w:eastAsia="游ゴシック"/>
                <w:b w:val="0"/>
                <w:i w:val="0"/>
                <w:sz w:val="17"/>
              </w:rPr>
              <w:t>50％</w:t>
            </w:r>
          </w:p>
        </w:tc>
        <w:tc>
          <w:tcPr>
            <w:tcW w:type="dxa" w:w="624"/>
            <w:vAlign w:val="center"/>
          </w:tcPr>
          <w:p>
            <w:pPr>
              <w:keepNext/>
              <w:spacing w:before="20" w:after="20"/>
              <w:jc w:val="right"/>
            </w:pPr>
            <w:r>
              <w:rPr>
                <w:rFonts w:ascii="游ゴシック" w:hAnsi="游ゴシック" w:eastAsia="游ゴシック"/>
                <w:b w:val="0"/>
                <w:i w:val="0"/>
                <w:sz w:val="17"/>
              </w:rPr>
              <w:t>73％</w:t>
            </w:r>
          </w:p>
        </w:tc>
        <w:tc>
          <w:tcPr>
            <w:tcW w:type="dxa" w:w="1134"/>
            <w:vAlign w:val="center"/>
          </w:tcPr>
          <w:p>
            <w:pPr>
              <w:keepNext/>
              <w:spacing w:before="20" w:after="20"/>
            </w:pPr>
            <w:r>
              <w:rPr>
                <w:rFonts w:ascii="游ゴシック" w:hAnsi="游ゴシック" w:eastAsia="游ゴシック"/>
                <w:b w:val="0"/>
                <w:i w:val="0"/>
                <w:sz w:val="17"/>
              </w:rPr>
              <w:t>遅れ</w:t>
            </w:r>
          </w:p>
        </w:tc>
        <w:tc>
          <w:tcPr>
            <w:tcW w:type="dxa" w:w="3231"/>
            <w:vAlign w:val="center"/>
          </w:tcPr>
          <w:p>
            <w:pPr>
              <w:keepNext/>
              <w:spacing w:before="20" w:after="20"/>
            </w:pPr>
            <w:r>
              <w:rPr>
                <w:rFonts w:ascii="游ゴシック" w:hAnsi="游ゴシック" w:eastAsia="游ゴシック"/>
                <w:b w:val="0"/>
                <w:i w:val="0"/>
                <w:sz w:val="17"/>
              </w:rPr>
              <w:t>見える化システムの値との突合作業</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pStyle w:val="Heading3"/>
        <w:keepNext/>
        <w:spacing w:before="180" w:after="80"/>
      </w:pPr>
      <w:r>
        <w:rPr>
          <w:rFonts w:ascii="游ゴシック" w:hAnsi="游ゴシック" w:eastAsia="游ゴシック"/>
          <w:b/>
          <w:i w:val="0"/>
          <w:color w:val="1F4D78"/>
          <w:sz w:val="22"/>
        </w:rPr>
        <w:t>障がい計画（10件）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73％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r>
        <w:tc>
          <w:tcPr>
            <w:tcW w:type="dxa" w:w="510"/>
            <w:vAlign w:val="center"/>
          </w:tcPr>
          <w:p>
            <w:pPr>
              <w:spacing w:before="20" w:after="20"/>
            </w:pPr>
            <w:r>
              <w:rPr>
                <w:rFonts w:ascii="游ゴシック" w:hAnsi="游ゴシック" w:eastAsia="游ゴシック"/>
                <w:b w:val="0"/>
                <w:i w:val="0"/>
                <w:sz w:val="17"/>
              </w:rPr>
              <w:t>5-2</w:t>
            </w:r>
          </w:p>
        </w:tc>
        <w:tc>
          <w:tcPr>
            <w:tcW w:type="dxa" w:w="1928"/>
            <w:vAlign w:val="center"/>
          </w:tcPr>
          <w:p>
            <w:pPr>
              <w:spacing w:before="20" w:after="20"/>
            </w:pPr>
            <w:r>
              <w:rPr>
                <w:rFonts w:ascii="游ゴシック" w:hAnsi="游ゴシック" w:eastAsia="游ゴシック"/>
                <w:b w:val="0"/>
                <w:i w:val="0"/>
                <w:sz w:val="17"/>
              </w:rPr>
              <w:t>手帳所持者・サービス利用状況の分析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624"/>
            <w:vAlign w:val="center"/>
          </w:tcPr>
          <w:p>
            <w:pPr>
              <w:spacing w:before="20" w:after="20"/>
              <w:jc w:val="right"/>
            </w:pPr>
            <w:r>
              <w:rPr>
                <w:rFonts w:ascii="游ゴシック" w:hAnsi="游ゴシック" w:eastAsia="游ゴシック"/>
                <w:b w:val="0"/>
                <w:i w:val="0"/>
                <w:sz w:val="17"/>
              </w:rPr>
              <w:t>73％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支給決定量と実利用量の別、障害支援区分別の状況（依頼票D7）。精神障がい者の内数が総数を超える箇所があり原データの確認が必要</w:t>
            </w:r>
          </w:p>
        </w:tc>
      </w:tr>
      <w:tr>
        <w:tc>
          <w:tcPr>
            <w:tcW w:type="dxa" w:w="510"/>
            <w:vAlign w:val="center"/>
          </w:tcPr>
          <w:p>
            <w:pPr>
              <w:keepNext/>
              <w:spacing w:before="20" w:after="20"/>
            </w:pPr>
            <w:r>
              <w:rPr>
                <w:rFonts w:ascii="游ゴシック" w:hAnsi="游ゴシック" w:eastAsia="游ゴシック"/>
                <w:b w:val="0"/>
                <w:i w:val="0"/>
                <w:sz w:val="17"/>
              </w:rPr>
              <w:t>5-1</w:t>
            </w:r>
          </w:p>
        </w:tc>
        <w:tc>
          <w:tcPr>
            <w:tcW w:type="dxa" w:w="1928"/>
            <w:vAlign w:val="center"/>
          </w:tcPr>
          <w:p>
            <w:pPr>
              <w:keepNext/>
              <w:spacing w:before="20" w:after="20"/>
            </w:pPr>
            <w:r>
              <w:rPr>
                <w:rFonts w:ascii="游ゴシック" w:hAnsi="游ゴシック" w:eastAsia="游ゴシック"/>
                <w:b w:val="0"/>
                <w:i w:val="0"/>
                <w:sz w:val="17"/>
              </w:rPr>
              <w:t>現行計画の取組み状況の検証</w:t>
            </w:r>
          </w:p>
        </w:tc>
        <w:tc>
          <w:tcPr>
            <w:tcW w:type="dxa" w:w="850"/>
            <w:vAlign w:val="center"/>
          </w:tcPr>
          <w:p>
            <w:pPr>
              <w:keepNext/>
              <w:spacing w:before="20" w:after="20"/>
            </w:pPr>
            <w:r>
              <w:rPr>
                <w:rFonts w:ascii="游ゴシック" w:hAnsi="游ゴシック" w:eastAsia="游ゴシック"/>
                <w:b w:val="0"/>
                <w:i w:val="0"/>
                <w:sz w:val="17"/>
              </w:rPr>
              <w:t>受託者</w:t>
            </w:r>
          </w:p>
        </w:tc>
        <w:tc>
          <w:tcPr>
            <w:tcW w:type="dxa" w:w="850"/>
            <w:vAlign w:val="center"/>
          </w:tcPr>
          <w:p>
            <w:pPr>
              <w:keepNext/>
              <w:spacing w:before="20" w:after="20"/>
            </w:pPr>
            <w:r>
              <w:rPr>
                <w:rFonts w:ascii="游ゴシック" w:hAnsi="游ゴシック" w:eastAsia="游ゴシック"/>
                <w:b w:val="0"/>
                <w:i w:val="0"/>
                <w:sz w:val="17"/>
              </w:rPr>
              <w:t>2026-10</w:t>
            </w:r>
          </w:p>
        </w:tc>
        <w:tc>
          <w:tcPr>
            <w:tcW w:type="dxa" w:w="624"/>
            <w:vAlign w:val="center"/>
          </w:tcPr>
          <w:p>
            <w:pPr>
              <w:keepNext/>
              <w:spacing w:before="20" w:after="20"/>
              <w:jc w:val="right"/>
            </w:pPr>
            <w:r>
              <w:rPr>
                <w:rFonts w:ascii="游ゴシック" w:hAnsi="游ゴシック" w:eastAsia="游ゴシック"/>
                <w:b w:val="0"/>
                <w:i w:val="0"/>
                <w:sz w:val="17"/>
              </w:rPr>
              <w:t>70％</w:t>
            </w:r>
          </w:p>
        </w:tc>
        <w:tc>
          <w:tcPr>
            <w:tcW w:type="dxa" w:w="624"/>
            <w:vAlign w:val="center"/>
          </w:tcPr>
          <w:p>
            <w:pPr>
              <w:keepNext/>
              <w:spacing w:before="20" w:after="20"/>
              <w:jc w:val="right"/>
            </w:pPr>
            <w:r>
              <w:rPr>
                <w:rFonts w:ascii="游ゴシック" w:hAnsi="游ゴシック" w:eastAsia="游ゴシック"/>
                <w:b w:val="0"/>
                <w:i w:val="0"/>
                <w:sz w:val="17"/>
              </w:rPr>
              <w:t>82％</w:t>
            </w:r>
          </w:p>
        </w:tc>
        <w:tc>
          <w:tcPr>
            <w:tcW w:type="dxa" w:w="1134"/>
            <w:vAlign w:val="center"/>
          </w:tcPr>
          <w:p>
            <w:pPr>
              <w:keepNext/>
              <w:spacing w:before="20" w:after="20"/>
            </w:pPr>
            <w:r>
              <w:rPr>
                <w:rFonts w:ascii="游ゴシック" w:hAnsi="游ゴシック" w:eastAsia="游ゴシック"/>
                <w:b w:val="0"/>
                <w:i w:val="0"/>
                <w:sz w:val="17"/>
              </w:rPr>
              <w:t>遅れ</w:t>
            </w:r>
          </w:p>
        </w:tc>
        <w:tc>
          <w:tcPr>
            <w:tcW w:type="dxa" w:w="3231"/>
            <w:vAlign w:val="center"/>
          </w:tcPr>
          <w:p>
            <w:pPr>
              <w:keepNext/>
              <w:spacing w:before="20" w:after="20"/>
            </w:pPr>
            <w:r>
              <w:rPr>
                <w:rFonts w:ascii="游ゴシック" w:hAnsi="游ゴシック" w:eastAsia="游ゴシック"/>
                <w:b/>
                <w:i w:val="0"/>
                <w:sz w:val="17"/>
              </w:rPr>
              <w:t>前回計画31項目の令和8年度末の実績（依頼票D6）。</w:t>
            </w:r>
            <w:r>
              <w:rPr>
                <w:rFonts w:ascii="游ゴシック" w:hAnsi="游ゴシック" w:eastAsia="游ゴシック"/>
                <w:b w:val="0"/>
                <w:i w:val="0"/>
                <w:sz w:val="17"/>
              </w:rPr>
              <w:t>目標値は受領済みのため、残るのは実績のみ</w:t>
            </w:r>
          </w:p>
        </w:tc>
      </w:tr>
      <w:tr>
        <w:tc>
          <w:tcPr>
            <w:tcW w:type="dxa" w:w="510"/>
            <w:vAlign w:val="center"/>
          </w:tcPr>
          <w:p>
            <w:pPr>
              <w:spacing w:before="20" w:after="20"/>
            </w:pPr>
            <w:r>
              <w:rPr>
                <w:rFonts w:ascii="游ゴシック" w:hAnsi="游ゴシック" w:eastAsia="游ゴシック"/>
                <w:b w:val="0"/>
                <w:i w:val="0"/>
                <w:sz w:val="17"/>
              </w:rPr>
              <w:t>5-4</w:t>
            </w:r>
          </w:p>
        </w:tc>
        <w:tc>
          <w:tcPr>
            <w:tcW w:type="dxa" w:w="1928"/>
            <w:vAlign w:val="center"/>
          </w:tcPr>
          <w:p>
            <w:pPr>
              <w:spacing w:before="20" w:after="20"/>
            </w:pPr>
            <w:r>
              <w:rPr>
                <w:rFonts w:ascii="游ゴシック" w:hAnsi="游ゴシック" w:eastAsia="游ゴシック"/>
                <w:b w:val="0"/>
                <w:i w:val="0"/>
                <w:sz w:val="17"/>
              </w:rPr>
              <w:t>人口推計の出典の統一</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624"/>
            <w:vAlign w:val="center"/>
          </w:tcPr>
          <w:p>
            <w:pPr>
              <w:spacing w:before="20" w:after="20"/>
              <w:jc w:val="right"/>
            </w:pPr>
            <w:r>
              <w:rPr>
                <w:rFonts w:ascii="游ゴシック" w:hAnsi="游ゴシック" w:eastAsia="游ゴシック"/>
                <w:b w:val="0"/>
                <w:i w:val="0"/>
                <w:sz w:val="17"/>
              </w:rPr>
              <w:t>82％</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町の判断（4件）。計画本文の出典、男女別5歳階級の住基人口の提供、障がい児の見込量を再計算するか、保険料算定に第10期推計を使うこと</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障がい計画の遅れ10件は、すべて町からの3点に連なっています。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pStyle w:val="Heading1"/>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町・国・県の回答を待たずに進められる作業は35件、合計98.0時間（1日8.0時間として約12.2日）です。</w:t>
      </w:r>
      <w:r>
        <w:rPr>
          <w:rFonts w:ascii="游ゴシック" w:hAnsi="游ゴシック" w:eastAsia="游ゴシック"/>
          <w:b/>
          <w:i w:val="0"/>
          <w:sz w:val="21"/>
        </w:rPr>
        <w:t>うち31件・85.0時間は令和8年10月15日までに済みました。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問31と給付実績の食い違いの切り分け（周辺度数まで）</w:t>
            </w:r>
          </w:p>
        </w:tc>
        <w:tc>
          <w:tcPr>
            <w:tcW w:type="dxa" w:w="3969"/>
            <w:vAlign w:val="center"/>
          </w:tcPr>
          <w:p>
            <w:pPr>
              <w:spacing w:before="20" w:after="20"/>
            </w:pPr>
            <w:r>
              <w:rPr>
                <w:rFonts w:ascii="游ゴシック" w:hAnsi="游ゴシック" w:eastAsia="游ゴシック"/>
                <w:b/>
                <w:i w:val="0"/>
                <w:sz w:val="17"/>
              </w:rPr>
              <w:t>周辺度数（それぞれの設問の合計）だけでも、取り違え仮説が人数として成立しうるかは測れる。</w:t>
            </w:r>
            <w:r>
              <w:rPr>
                <w:rFonts w:ascii="游ゴシック" w:hAnsi="游ゴシック" w:eastAsia="游ゴシック"/>
                <w:b w:val="0"/>
                <w:i w:val="0"/>
                <w:sz w:val="17"/>
              </w:rPr>
              <w:t>個票がないためクロス集計はできないが、</w:t>
            </w:r>
            <w:r>
              <w:rPr>
                <w:rFonts w:ascii="游ゴシック" w:hAnsi="游ゴシック" w:eastAsia="游ゴシック"/>
                <w:b/>
                <w:i w:val="0"/>
                <w:sz w:val="17"/>
              </w:rPr>
              <w:t>取り違えでは説明できない分を切り出すところまでは当方で完結する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障がい計画の素案への展開（第1版）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T21</w:t>
            </w:r>
          </w:p>
        </w:tc>
        <w:tc>
          <w:tcPr>
            <w:tcW w:type="dxa" w:w="2154"/>
            <w:vAlign w:val="center"/>
          </w:tcPr>
          <w:p>
            <w:pPr>
              <w:spacing w:before="20" w:after="20"/>
            </w:pPr>
            <w:r>
              <w:rPr>
                <w:rFonts w:ascii="游ゴシック" w:hAnsi="游ゴシック" w:eastAsia="游ゴシック"/>
                <w:b w:val="0"/>
                <w:i w:val="0"/>
                <w:sz w:val="17"/>
              </w:rPr>
              <w:t>令和8年法改正の反映と3区分の仕分け（新旧対照条文による）</w:t>
            </w:r>
          </w:p>
        </w:tc>
        <w:tc>
          <w:tcPr>
            <w:tcW w:type="dxa" w:w="3969"/>
            <w:vAlign w:val="center"/>
          </w:tcPr>
          <w:p>
            <w:pPr>
              <w:spacing w:before="20" w:after="20"/>
            </w:pPr>
            <w:r>
              <w:rPr>
                <w:rFonts w:ascii="游ゴシック" w:hAnsi="游ゴシック" w:eastAsia="游ゴシック"/>
                <w:b/>
                <w:i w:val="0"/>
                <w:sz w:val="17"/>
              </w:rPr>
              <w:t>新旧対照条文（全353頁）を10月14日に受領した。</w:t>
            </w:r>
            <w:r>
              <w:rPr>
                <w:rFonts w:ascii="游ゴシック" w:hAnsi="游ゴシック" w:eastAsia="游ゴシック"/>
                <w:b w:val="0"/>
                <w:i w:val="0"/>
                <w:sz w:val="17"/>
              </w:rPr>
              <w:t>要綱・概要では項・号が定まらず、当方の仕分けに誤りが3件あった。条文の現物があれば、当方だけで直せる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10月14日（水）</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T22</w:t>
            </w:r>
          </w:p>
        </w:tc>
        <w:tc>
          <w:tcPr>
            <w:tcW w:type="dxa" w:w="2154"/>
            <w:vAlign w:val="center"/>
          </w:tcPr>
          <w:p>
            <w:pPr>
              <w:spacing w:before="20" w:after="20"/>
            </w:pPr>
            <w:r>
              <w:rPr>
                <w:rFonts w:ascii="游ゴシック" w:hAnsi="游ゴシック" w:eastAsia="游ゴシック"/>
                <w:b w:val="0"/>
                <w:i w:val="0"/>
                <w:sz w:val="17"/>
              </w:rPr>
              <w:t>必要資料の優先順位の整理</w:t>
            </w:r>
          </w:p>
        </w:tc>
        <w:tc>
          <w:tcPr>
            <w:tcW w:type="dxa" w:w="3969"/>
            <w:vAlign w:val="center"/>
          </w:tcPr>
          <w:p>
            <w:pPr>
              <w:spacing w:before="20" w:after="20"/>
            </w:pPr>
            <w:r>
              <w:rPr>
                <w:rFonts w:ascii="游ゴシック" w:hAnsi="游ゴシック" w:eastAsia="游ゴシック"/>
                <w:b/>
                <w:i w:val="0"/>
                <w:sz w:val="17"/>
              </w:rPr>
              <w:t>何が要るかは当方が決めることで、町の回答を待つ必要がない。</w:t>
            </w:r>
            <w:r>
              <w:rPr>
                <w:rFonts w:ascii="游ゴシック" w:hAnsi="游ゴシック" w:eastAsia="游ゴシック"/>
                <w:b w:val="0"/>
                <w:i w:val="0"/>
                <w:sz w:val="17"/>
              </w:rPr>
              <w:t>むしろ先に出さないと、町の作業が始まらない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T23</w:t>
            </w:r>
          </w:p>
        </w:tc>
        <w:tc>
          <w:tcPr>
            <w:tcW w:type="dxa" w:w="2154"/>
            <w:vAlign w:val="center"/>
          </w:tcPr>
          <w:p>
            <w:pPr>
              <w:spacing w:before="20" w:after="20"/>
            </w:pPr>
            <w:r>
              <w:rPr>
                <w:rFonts w:ascii="游ゴシック" w:hAnsi="游ゴシック" w:eastAsia="游ゴシック"/>
                <w:b w:val="0"/>
                <w:i w:val="0"/>
                <w:sz w:val="17"/>
              </w:rPr>
              <w:t>決算書・地域支援事業交付金実績報告の受領と反映</w:t>
            </w:r>
          </w:p>
        </w:tc>
        <w:tc>
          <w:tcPr>
            <w:tcW w:type="dxa" w:w="3969"/>
            <w:vAlign w:val="center"/>
          </w:tcPr>
          <w:p>
            <w:pPr>
              <w:spacing w:before="20" w:after="20"/>
            </w:pPr>
            <w:r>
              <w:rPr>
                <w:rFonts w:ascii="游ゴシック" w:hAnsi="游ゴシック" w:eastAsia="游ゴシック"/>
                <w:b/>
                <w:i w:val="0"/>
                <w:sz w:val="17"/>
              </w:rPr>
              <w:t>10月15日に受領した。</w:t>
            </w:r>
            <w:r>
              <w:rPr>
                <w:rFonts w:ascii="游ゴシック" w:hAnsi="游ゴシック" w:eastAsia="游ゴシック"/>
                <w:b w:val="0"/>
                <w:i w:val="0"/>
                <w:sz w:val="17"/>
              </w:rPr>
              <w:t>決算と交付金が令和6・7年度とも完全に一致することを確かめ、単価の基準年度を令和7年度に改めた</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T24</w:t>
            </w:r>
          </w:p>
        </w:tc>
        <w:tc>
          <w:tcPr>
            <w:tcW w:type="dxa" w:w="2154"/>
            <w:vAlign w:val="center"/>
          </w:tcPr>
          <w:p>
            <w:pPr>
              <w:spacing w:before="20" w:after="20"/>
            </w:pPr>
            <w:r>
              <w:rPr>
                <w:rFonts w:ascii="游ゴシック" w:hAnsi="游ゴシック" w:eastAsia="游ゴシック"/>
                <w:b w:val="0"/>
                <w:i w:val="0"/>
                <w:sz w:val="17"/>
              </w:rPr>
              <w:t>高齢者　必要資料の再確認（年報・国保連月報の受領を受けて）</w:t>
            </w:r>
          </w:p>
        </w:tc>
        <w:tc>
          <w:tcPr>
            <w:tcW w:type="dxa" w:w="3969"/>
            <w:vAlign w:val="center"/>
          </w:tcPr>
          <w:p>
            <w:pPr>
              <w:spacing w:before="20" w:after="20"/>
            </w:pPr>
            <w:r>
              <w:rPr>
                <w:rFonts w:ascii="游ゴシック" w:hAnsi="游ゴシック" w:eastAsia="游ゴシック"/>
                <w:b/>
                <w:i w:val="0"/>
                <w:sz w:val="17"/>
              </w:rPr>
              <w:t>受領した資料で解けたものを照会から外す作業であり、当方だけでできる。</w:t>
            </w:r>
            <w:r>
              <w:rPr>
                <w:rFonts w:ascii="游ゴシック" w:hAnsi="游ゴシック" w:eastAsia="游ゴシック"/>
                <w:b w:val="0"/>
                <w:i w:val="0"/>
                <w:sz w:val="17"/>
              </w:rPr>
              <w:t>取り下げ6件を特定した</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T25</w:t>
            </w:r>
          </w:p>
        </w:tc>
        <w:tc>
          <w:tcPr>
            <w:tcW w:type="dxa" w:w="2154"/>
            <w:vAlign w:val="center"/>
          </w:tcPr>
          <w:p>
            <w:pPr>
              <w:spacing w:before="20" w:after="20"/>
            </w:pPr>
            <w:r>
              <w:rPr>
                <w:rFonts w:ascii="游ゴシック" w:hAnsi="游ゴシック" w:eastAsia="游ゴシック"/>
                <w:b w:val="0"/>
                <w:i w:val="0"/>
                <w:sz w:val="17"/>
              </w:rPr>
              <w:t>計画の整合のエビデンスの点検（住宅の部分を含む）</w:t>
            </w:r>
          </w:p>
        </w:tc>
        <w:tc>
          <w:tcPr>
            <w:tcW w:type="dxa" w:w="3969"/>
            <w:vAlign w:val="center"/>
          </w:tcPr>
          <w:p>
            <w:pPr>
              <w:spacing w:before="20" w:after="20"/>
            </w:pPr>
            <w:r>
              <w:rPr>
                <w:rFonts w:ascii="游ゴシック" w:hAnsi="游ゴシック" w:eastAsia="游ゴシック"/>
                <w:b/>
                <w:i w:val="0"/>
                <w:sz w:val="17"/>
              </w:rPr>
              <w:t>高齢者住まい法・住宅セーフティネット法の改正が計画の記載事項に直結する。</w:t>
            </w:r>
            <w:r>
              <w:rPr>
                <w:rFonts w:ascii="游ゴシック" w:hAnsi="游ゴシック" w:eastAsia="游ゴシック"/>
                <w:b w:val="0"/>
                <w:i w:val="0"/>
                <w:sz w:val="17"/>
              </w:rPr>
              <w:t>手元の資料で点検できる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T26</w:t>
            </w:r>
          </w:p>
        </w:tc>
        <w:tc>
          <w:tcPr>
            <w:tcW w:type="dxa" w:w="2154"/>
            <w:vAlign w:val="center"/>
          </w:tcPr>
          <w:p>
            <w:pPr>
              <w:spacing w:before="20" w:after="20"/>
            </w:pPr>
            <w:r>
              <w:rPr>
                <w:rFonts w:ascii="游ゴシック" w:hAnsi="游ゴシック" w:eastAsia="游ゴシック"/>
                <w:b w:val="0"/>
                <w:i w:val="0"/>
                <w:sz w:val="17"/>
              </w:rPr>
              <w:t>県高齢者居住安定確保計画の反映</w:t>
            </w:r>
          </w:p>
        </w:tc>
        <w:tc>
          <w:tcPr>
            <w:tcW w:type="dxa" w:w="3969"/>
            <w:vAlign w:val="center"/>
          </w:tcPr>
          <w:p>
            <w:pPr>
              <w:spacing w:before="20" w:after="20"/>
            </w:pPr>
            <w:r>
              <w:rPr>
                <w:rFonts w:ascii="游ゴシック" w:hAnsi="游ゴシック" w:eastAsia="游ゴシック"/>
                <w:b/>
                <w:i w:val="0"/>
                <w:sz w:val="17"/>
              </w:rPr>
              <w:t>同計画は令和8年度で満了し、本計画期間の初日に現行計画がない。</w:t>
            </w:r>
            <w:r>
              <w:rPr>
                <w:rFonts w:ascii="游ゴシック" w:hAnsi="游ゴシック" w:eastAsia="游ゴシック"/>
                <w:b w:val="0"/>
                <w:i w:val="0"/>
                <w:sz w:val="17"/>
              </w:rPr>
              <w:t>この事実の確認と素案への反映は当方でできる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T27</w:t>
            </w:r>
          </w:p>
        </w:tc>
        <w:tc>
          <w:tcPr>
            <w:tcW w:type="dxa" w:w="2154"/>
            <w:vAlign w:val="center"/>
          </w:tcPr>
          <w:p>
            <w:pPr>
              <w:spacing w:before="20" w:after="20"/>
            </w:pPr>
            <w:r>
              <w:rPr>
                <w:rFonts w:ascii="游ゴシック" w:hAnsi="游ゴシック" w:eastAsia="游ゴシック"/>
                <w:b w:val="0"/>
                <w:i w:val="0"/>
                <w:sz w:val="17"/>
              </w:rPr>
              <w:t>県保健医療計画（第八次）の反映</w:t>
            </w:r>
          </w:p>
        </w:tc>
        <w:tc>
          <w:tcPr>
            <w:tcW w:type="dxa" w:w="3969"/>
            <w:vAlign w:val="center"/>
          </w:tcPr>
          <w:p>
            <w:pPr>
              <w:spacing w:before="20" w:after="20"/>
            </w:pPr>
            <w:r>
              <w:rPr>
                <w:rFonts w:ascii="游ゴシック" w:hAnsi="游ゴシック" w:eastAsia="游ゴシック"/>
                <w:b/>
                <w:i w:val="0"/>
                <w:sz w:val="17"/>
              </w:rPr>
              <w:t>10月15日に章ごとの原本を受領した。</w:t>
            </w:r>
            <w:r>
              <w:rPr>
                <w:rFonts w:ascii="游ゴシック" w:hAnsi="游ゴシック" w:eastAsia="游ゴシック"/>
                <w:b w:val="0"/>
                <w:i w:val="0"/>
                <w:sz w:val="17"/>
              </w:rPr>
              <w:t>整合性の確保が法定の義務であり、受領した現物で確かめられる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T28</w:t>
            </w:r>
          </w:p>
        </w:tc>
        <w:tc>
          <w:tcPr>
            <w:tcW w:type="dxa" w:w="2154"/>
            <w:vAlign w:val="center"/>
          </w:tcPr>
          <w:p>
            <w:pPr>
              <w:spacing w:before="20" w:after="20"/>
            </w:pPr>
            <w:r>
              <w:rPr>
                <w:rFonts w:ascii="游ゴシック" w:hAnsi="游ゴシック" w:eastAsia="游ゴシック"/>
                <w:b w:val="0"/>
                <w:i w:val="0"/>
                <w:sz w:val="17"/>
              </w:rPr>
              <w:t>障がい計画　県計画との整合の点検</w:t>
            </w:r>
          </w:p>
        </w:tc>
        <w:tc>
          <w:tcPr>
            <w:tcW w:type="dxa" w:w="3969"/>
            <w:vAlign w:val="center"/>
          </w:tcPr>
          <w:p>
            <w:pPr>
              <w:spacing w:before="20" w:after="20"/>
            </w:pPr>
            <w:r>
              <w:rPr>
                <w:rFonts w:ascii="游ゴシック" w:hAnsi="游ゴシック" w:eastAsia="游ゴシック"/>
                <w:b/>
                <w:i w:val="0"/>
                <w:sz w:val="17"/>
              </w:rPr>
              <w:t>高齢者で行った点検と同じ構えで、障がい側にも当てはめる。</w:t>
            </w:r>
            <w:r>
              <w:rPr>
                <w:rFonts w:ascii="游ゴシック" w:hAnsi="游ゴシック" w:eastAsia="游ゴシック"/>
                <w:b w:val="0"/>
                <w:i w:val="0"/>
                <w:sz w:val="17"/>
              </w:rPr>
              <w:t>県保健医療計画の第8章第5節・第11節、第9章第3節が効く</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T29</w:t>
            </w:r>
          </w:p>
        </w:tc>
        <w:tc>
          <w:tcPr>
            <w:tcW w:type="dxa" w:w="2154"/>
            <w:vAlign w:val="center"/>
          </w:tcPr>
          <w:p>
            <w:pPr>
              <w:spacing w:before="20" w:after="20"/>
            </w:pPr>
            <w:r>
              <w:rPr>
                <w:rFonts w:ascii="游ゴシック" w:hAnsi="游ゴシック" w:eastAsia="游ゴシック"/>
                <w:b w:val="0"/>
                <w:i w:val="0"/>
                <w:sz w:val="17"/>
              </w:rPr>
              <w:t>確認事項の記号の1本化と4区分への整理</w:t>
            </w:r>
          </w:p>
        </w:tc>
        <w:tc>
          <w:tcPr>
            <w:tcW w:type="dxa" w:w="3969"/>
            <w:vAlign w:val="center"/>
          </w:tcPr>
          <w:p>
            <w:pPr>
              <w:spacing w:before="20" w:after="20"/>
            </w:pPr>
            <w:r>
              <w:rPr>
                <w:rFonts w:ascii="游ゴシック" w:hAnsi="游ゴシック" w:eastAsia="游ゴシック"/>
                <w:b/>
                <w:i w:val="0"/>
                <w:sz w:val="17"/>
              </w:rPr>
              <w:t>8つの成果品に6種類の記号が散らばり、機械で集めると101件（重複を含む）あった。</w:t>
            </w:r>
            <w:r>
              <w:rPr>
                <w:rFonts w:ascii="游ゴシック" w:hAnsi="游ゴシック" w:eastAsia="游ゴシック"/>
                <w:b w:val="0"/>
                <w:i w:val="0"/>
                <w:sz w:val="17"/>
              </w:rPr>
              <w:t>同じ記号が別の意味で使われており、町にお出しできる状態ではなかった</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T30</w:t>
            </w:r>
          </w:p>
        </w:tc>
        <w:tc>
          <w:tcPr>
            <w:tcW w:type="dxa" w:w="2154"/>
            <w:vAlign w:val="center"/>
          </w:tcPr>
          <w:p>
            <w:pPr>
              <w:spacing w:before="20" w:after="20"/>
            </w:pPr>
            <w:r>
              <w:rPr>
                <w:rFonts w:ascii="游ゴシック" w:hAnsi="游ゴシック" w:eastAsia="游ゴシック"/>
                <w:b w:val="0"/>
                <w:i w:val="0"/>
                <w:sz w:val="17"/>
              </w:rPr>
              <w:t>法定記載事項チェックの新設</w:t>
            </w:r>
          </w:p>
        </w:tc>
        <w:tc>
          <w:tcPr>
            <w:tcW w:type="dxa" w:w="3969"/>
            <w:vAlign w:val="center"/>
          </w:tcPr>
          <w:p>
            <w:pPr>
              <w:spacing w:before="20" w:after="20"/>
            </w:pPr>
            <w:r>
              <w:rPr>
                <w:rFonts w:ascii="游ゴシック" w:hAnsi="游ゴシック" w:eastAsia="游ゴシック"/>
                <w:b/>
                <w:i w:val="0"/>
                <w:sz w:val="17"/>
              </w:rPr>
              <w:t>出来上がった docx を開いて語を数える形にすれば、当方の記憶に頼らずに欠落を見つけられる。</w:t>
            </w:r>
            <w:r>
              <w:rPr>
                <w:rFonts w:ascii="游ゴシック" w:hAnsi="游ゴシック" w:eastAsia="游ゴシック"/>
                <w:b w:val="0"/>
                <w:i w:val="0"/>
                <w:sz w:val="17"/>
              </w:rPr>
              <w:t>高齢者21件・障がい11件を自動で判定する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T31</w:t>
            </w:r>
          </w:p>
        </w:tc>
        <w:tc>
          <w:tcPr>
            <w:tcW w:type="dxa" w:w="2154"/>
            <w:vAlign w:val="center"/>
          </w:tcPr>
          <w:p>
            <w:pPr>
              <w:spacing w:before="20" w:after="20"/>
            </w:pPr>
            <w:r>
              <w:rPr>
                <w:rFonts w:ascii="游ゴシック" w:hAnsi="游ゴシック" w:eastAsia="游ゴシック"/>
                <w:b w:val="0"/>
                <w:i w:val="0"/>
                <w:sz w:val="17"/>
              </w:rPr>
              <w:t>県保健医療計画 図表12−2−9 の介護施設定員の決着</w:t>
            </w:r>
          </w:p>
        </w:tc>
        <w:tc>
          <w:tcPr>
            <w:tcW w:type="dxa" w:w="3969"/>
            <w:vAlign w:val="center"/>
          </w:tcPr>
          <w:p>
            <w:pPr>
              <w:spacing w:before="20" w:after="20"/>
            </w:pPr>
            <w:r>
              <w:rPr>
                <w:rFonts w:ascii="游ゴシック" w:hAnsi="游ゴシック" w:eastAsia="游ゴシック"/>
                <w:b/>
                <w:i w:val="0"/>
                <w:sz w:val="17"/>
              </w:rPr>
              <w:t>県計画と素案で同じ58という数が別の分類に入っていた。</w:t>
            </w:r>
            <w:r>
              <w:rPr>
                <w:rFonts w:ascii="游ゴシック" w:hAnsi="游ゴシック" w:eastAsia="游ゴシック"/>
                <w:b/>
                <w:i w:val="0"/>
                <w:sz w:val="17"/>
              </w:rPr>
              <w:t>出所がどちらも見える化システムであり、原票（Ｄ25・Ｄ26）が手元にあるため当方で決着できる。</w:t>
            </w:r>
            <w:r>
              <w:rPr>
                <w:rFonts w:ascii="游ゴシック" w:hAnsi="游ゴシック" w:eastAsia="游ゴシック"/>
                <w:b w:val="0"/>
                <w:i w:val="0"/>
                <w:sz w:val="17"/>
              </w:rPr>
              <w:t>町への照会に回さずに済んだ</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T32</w:t>
            </w:r>
          </w:p>
        </w:tc>
        <w:tc>
          <w:tcPr>
            <w:tcW w:type="dxa" w:w="2154"/>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3969"/>
            <w:vAlign w:val="center"/>
          </w:tcPr>
          <w:p>
            <w:pPr>
              <w:spacing w:before="20" w:after="20"/>
            </w:pPr>
            <w:r>
              <w:rPr>
                <w:rFonts w:ascii="游ゴシック" w:hAnsi="游ゴシック" w:eastAsia="游ゴシック"/>
                <w:b/>
                <w:i w:val="0"/>
                <w:sz w:val="17"/>
              </w:rPr>
              <w:t>算定の方式は素案 第3部第2章に置いた。</w:t>
            </w:r>
            <w:r>
              <w:rPr>
                <w:rFonts w:ascii="游ゴシック" w:hAnsi="游ゴシック" w:eastAsia="游ゴシック"/>
                <w:b/>
                <w:i w:val="0"/>
                <w:sz w:val="17"/>
              </w:rPr>
              <w:t>ただし値そのものはサービス別実績（町データ）が要るため、いま進められるのは方式の精査までである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10月16日（金）</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T33</w:t>
            </w:r>
          </w:p>
        </w:tc>
        <w:tc>
          <w:tcPr>
            <w:tcW w:type="dxa" w:w="2154"/>
            <w:vAlign w:val="center"/>
          </w:tcPr>
          <w:p>
            <w:pPr>
              <w:spacing w:before="20" w:after="20"/>
            </w:pPr>
            <w:r>
              <w:rPr>
                <w:rFonts w:ascii="游ゴシック" w:hAnsi="游ゴシック" w:eastAsia="游ゴシック"/>
                <w:b w:val="0"/>
                <w:i w:val="0"/>
                <w:sz w:val="17"/>
              </w:rPr>
              <w:t>否定試験（点検スクリプトが誤りを捕まえるかの試験）</w:t>
            </w:r>
          </w:p>
        </w:tc>
        <w:tc>
          <w:tcPr>
            <w:tcW w:type="dxa" w:w="3969"/>
            <w:vAlign w:val="center"/>
          </w:tcPr>
          <w:p>
            <w:pPr>
              <w:spacing w:before="20" w:after="20"/>
            </w:pPr>
            <w:r>
              <w:rPr>
                <w:rFonts w:ascii="游ゴシック" w:hAnsi="游ゴシック" w:eastAsia="游ゴシック"/>
                <w:b/>
                <w:i w:val="0"/>
                <w:sz w:val="17"/>
              </w:rPr>
              <w:t>点検が通っていることと、点検が働いていることは別である。</w:t>
            </w:r>
            <w:r>
              <w:rPr>
                <w:rFonts w:ascii="游ゴシック" w:hAnsi="游ゴシック" w:eastAsia="游ゴシック"/>
                <w:b/>
                <w:i w:val="0"/>
                <w:sz w:val="17"/>
              </w:rPr>
              <w:t>わざと誤った値を入れて、点検が止まるかを確かめる。</w:t>
            </w:r>
            <w:r>
              <w:rPr>
                <w:rFonts w:ascii="游ゴシック" w:hAnsi="游ゴシック" w:eastAsia="游ゴシック"/>
                <w:b w:val="0"/>
                <w:i w:val="0"/>
                <w:sz w:val="17"/>
              </w:rPr>
              <w:t>外部条件に依存しない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10月19日（月）</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T34</w:t>
            </w:r>
          </w:p>
        </w:tc>
        <w:tc>
          <w:tcPr>
            <w:tcW w:type="dxa" w:w="2154"/>
            <w:vAlign w:val="center"/>
          </w:tcPr>
          <w:p>
            <w:pPr>
              <w:spacing w:before="20" w:after="20"/>
            </w:pPr>
            <w:r>
              <w:rPr>
                <w:rFonts w:ascii="游ゴシック" w:hAnsi="游ゴシック" w:eastAsia="游ゴシック"/>
                <w:b w:val="0"/>
                <w:i w:val="0"/>
                <w:sz w:val="17"/>
              </w:rPr>
              <w:t>色覚への配慮の点検（図の色と凡例）</w:t>
            </w:r>
          </w:p>
        </w:tc>
        <w:tc>
          <w:tcPr>
            <w:tcW w:type="dxa" w:w="3969"/>
            <w:vAlign w:val="center"/>
          </w:tcPr>
          <w:p>
            <w:pPr>
              <w:spacing w:before="20" w:after="20"/>
            </w:pPr>
            <w:r>
              <w:rPr>
                <w:rFonts w:ascii="游ゴシック" w:hAnsi="游ゴシック" w:eastAsia="游ゴシック"/>
                <w:b/>
                <w:i w:val="0"/>
                <w:sz w:val="17"/>
              </w:rPr>
              <w:t>図はすべて当方が ono_figs で作っており、手元で確かめられる。</w:t>
            </w:r>
            <w:r>
              <w:rPr>
                <w:rFonts w:ascii="游ゴシック" w:hAnsi="游ゴシック" w:eastAsia="游ゴシック"/>
                <w:b w:val="0"/>
                <w:i w:val="0"/>
                <w:sz w:val="17"/>
              </w:rPr>
              <w:t>色だけで区別させていないか、印刷の白黒で読めるかを点検する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10月19日（月）</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T35</w:t>
            </w:r>
          </w:p>
        </w:tc>
        <w:tc>
          <w:tcPr>
            <w:tcW w:type="dxa" w:w="2154"/>
            <w:vAlign w:val="center"/>
          </w:tcPr>
          <w:p>
            <w:pPr>
              <w:spacing w:before="20" w:after="20"/>
            </w:pPr>
            <w:r>
              <w:rPr>
                <w:rFonts w:ascii="游ゴシック" w:hAnsi="游ゴシック" w:eastAsia="游ゴシック"/>
                <w:b w:val="0"/>
                <w:i w:val="0"/>
                <w:sz w:val="17"/>
              </w:rPr>
              <w:t>障がい計画　素案の体裁・紙面の点検を高齢者と同じ水準にする</w:t>
            </w:r>
          </w:p>
        </w:tc>
        <w:tc>
          <w:tcPr>
            <w:tcW w:type="dxa" w:w="3969"/>
            <w:vAlign w:val="center"/>
          </w:tcPr>
          <w:p>
            <w:pPr>
              <w:spacing w:before="20" w:after="20"/>
            </w:pPr>
            <w:r>
              <w:rPr>
                <w:rFonts w:ascii="游ゴシック" w:hAnsi="游ゴシック" w:eastAsia="游ゴシック"/>
                <w:b/>
                <w:i w:val="0"/>
                <w:sz w:val="17"/>
              </w:rPr>
              <w:t>素案 第1版ができたため、高齢者と同じ点検に載せられる。</w:t>
            </w:r>
            <w:r>
              <w:rPr>
                <w:rFonts w:ascii="游ゴシック" w:hAnsi="游ゴシック" w:eastAsia="游ゴシック"/>
                <w:b w:val="0"/>
                <w:i w:val="0"/>
                <w:sz w:val="17"/>
              </w:rPr>
              <w:t>体裁37件・紙面18件の対象に加え済みで、残るのは図の追加</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10月19日（月）</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pStyle w:val="Heading1"/>
        <w:keepNext/>
        <w:spacing w:before="240" w:after="100"/>
      </w:pPr>
      <w:bookmarkStart w:id="118" w:name="_Toc_018"/>
      <w:r>
        <w:rPr>
          <w:rFonts w:ascii="游ゴシック" w:hAnsi="游ゴシック" w:eastAsia="游ゴシック"/>
          <w:b/>
          <w:i w:val="0"/>
          <w:color w:val="2E74B5"/>
          <w:sz w:val="30"/>
        </w:rPr>
        <w:t>6　作業順位</w:t>
      </w:r>
      <w:bookmarkEnd w:id="118"/>
    </w:p>
    <w:p>
      <w:pPr>
        <w:pStyle w:val="Heading2"/>
        <w:keepNext/>
        <w:spacing w:before="180" w:after="100"/>
      </w:pPr>
      <w:bookmarkStart w:id="119" w:name="_Toc_019"/>
      <w:r>
        <w:rPr>
          <w:rFonts w:ascii="游ゴシック" w:hAnsi="游ゴシック" w:eastAsia="游ゴシック"/>
          <w:b/>
          <w:i w:val="0"/>
          <w:color w:val="2E74B5"/>
          <w:sz w:val="25"/>
        </w:rPr>
        <w:t>6-1　次に着手するもの（10月16日（金））</w:t>
      </w:r>
      <w:bookmarkEnd w:id="119"/>
    </w:p>
    <w:p>
      <w:pPr>
        <w:spacing w:before="60" w:after="60"/>
      </w:pPr>
      <w:r>
        <w:rPr>
          <w:rFonts w:ascii="游ゴシック" w:hAnsi="游ゴシック" w:eastAsia="游ゴシック"/>
          <w:b/>
          <w:i w:val="0"/>
          <w:sz w:val="21"/>
        </w:rPr>
        <w:t>1件・6.0時間。いずれも外部の回答を要しません。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T32</w:t>
            </w:r>
          </w:p>
        </w:tc>
        <w:tc>
          <w:tcPr>
            <w:tcW w:type="dxa" w:w="2268"/>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680"/>
            <w:vAlign w:val="center"/>
          </w:tcPr>
          <w:p>
            <w:pPr>
              <w:spacing w:before="20" w:after="20"/>
              <w:jc w:val="right"/>
            </w:pPr>
            <w:r>
              <w:rPr>
                <w:rFonts w:ascii="游ゴシック" w:hAnsi="游ゴシック" w:eastAsia="游ゴシック"/>
                <w:b w:val="0"/>
                <w:i w:val="0"/>
                <w:sz w:val="17"/>
              </w:rPr>
              <w:t>6.0</w:t>
            </w:r>
          </w:p>
        </w:tc>
        <w:tc>
          <w:tcPr>
            <w:tcW w:type="dxa" w:w="5726"/>
            <w:vAlign w:val="center"/>
          </w:tcPr>
          <w:p>
            <w:pPr>
              <w:spacing w:before="20" w:after="20"/>
            </w:pPr>
            <w:r>
              <w:rPr>
                <w:rFonts w:ascii="游ゴシック" w:hAnsi="游ゴシック" w:eastAsia="游ゴシック"/>
                <w:b/>
                <w:i w:val="0"/>
                <w:sz w:val="17"/>
              </w:rPr>
              <w:t>障がい計画の律速要因である。</w:t>
            </w:r>
            <w:r>
              <w:rPr>
                <w:rFonts w:ascii="游ゴシック" w:hAnsi="游ゴシック" w:eastAsia="游ゴシック"/>
                <w:b w:val="0"/>
                <w:i w:val="0"/>
                <w:sz w:val="17"/>
              </w:rPr>
              <w:t>素案 第1版で算定の方式までは置いたが、</w:t>
            </w:r>
            <w:r>
              <w:rPr>
                <w:rFonts w:ascii="游ゴシック" w:hAnsi="游ゴシック" w:eastAsia="游ゴシック"/>
                <w:b/>
                <w:i w:val="0"/>
                <w:sz w:val="17"/>
              </w:rPr>
              <w:t>値はサービス別実績（町データ）が要る。</w:t>
            </w:r>
            <w:r>
              <w:rPr>
                <w:rFonts w:ascii="游ゴシック" w:hAnsi="游ゴシック" w:eastAsia="游ゴシック"/>
                <w:b w:val="0"/>
                <w:i w:val="0"/>
                <w:sz w:val="17"/>
              </w:rPr>
              <w:t>いま進められるのは方式の精査までであり、</w:t>
            </w:r>
            <w:r>
              <w:rPr>
                <w:rFonts w:ascii="游ゴシック" w:hAnsi="游ゴシック" w:eastAsia="游ゴシック"/>
                <w:b/>
                <w:i w:val="0"/>
                <w:sz w:val="17"/>
              </w:rPr>
              <w:t>データが届いた日に算定へ入れる状態にしておく</w:t>
            </w:r>
          </w:p>
        </w:tc>
      </w:tr>
    </w:tbl>
    <w:p>
      <w:pPr>
        <w:spacing w:after="40"/>
      </w:pPr>
    </w:p>
    <w:p>
      <w:pPr>
        <w:pStyle w:val="Heading2"/>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r>
        <w:tc>
          <w:tcPr>
            <w:tcW w:type="dxa" w:w="1361"/>
            <w:vAlign w:val="center"/>
          </w:tcPr>
          <w:p>
            <w:pPr>
              <w:spacing w:before="20" w:after="20"/>
            </w:pPr>
            <w:r>
              <w:rPr>
                <w:rFonts w:ascii="游ゴシック" w:hAnsi="游ゴシック" w:eastAsia="游ゴシック"/>
                <w:b w:val="0"/>
                <w:i w:val="0"/>
                <w:sz w:val="17"/>
              </w:rPr>
              <w:t>10月19日（月）</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T33</w:t>
            </w:r>
          </w:p>
        </w:tc>
        <w:tc>
          <w:tcPr>
            <w:tcW w:type="dxa" w:w="6066"/>
            <w:vAlign w:val="center"/>
          </w:tcPr>
          <w:p>
            <w:pPr>
              <w:spacing w:before="20" w:after="20"/>
            </w:pPr>
            <w:r>
              <w:rPr>
                <w:rFonts w:ascii="游ゴシック" w:hAnsi="游ゴシック" w:eastAsia="游ゴシック"/>
                <w:b w:val="0"/>
                <w:i w:val="0"/>
                <w:sz w:val="17"/>
              </w:rPr>
              <w:t>否定試験（点検スクリプトが誤りを捕まえるかの試験）</w:t>
            </w:r>
          </w:p>
        </w:tc>
        <w:tc>
          <w:tcPr>
            <w:tcW w:type="dxa" w:w="1247"/>
            <w:vAlign w:val="center"/>
          </w:tcPr>
          <w:p>
            <w:pPr>
              <w:spacing w:before="20" w:after="20"/>
              <w:jc w:val="right"/>
            </w:pPr>
            <w:r>
              <w:rPr>
                <w:rFonts w:ascii="游ゴシック" w:hAnsi="游ゴシック" w:eastAsia="游ゴシック"/>
                <w:b w:val="0"/>
                <w:i w:val="0"/>
                <w:sz w:val="17"/>
              </w:rPr>
              <w:t>3.0</w:t>
            </w:r>
          </w:p>
        </w:tc>
      </w:tr>
      <w:tr>
        <w:tc>
          <w:tcPr>
            <w:tcW w:type="dxa" w:w="1361"/>
            <w:vAlign w:val="center"/>
          </w:tcPr>
          <w:p>
            <w:pPr>
              <w:keepNext/>
              <w:spacing w:before="20" w:after="20"/>
            </w:pPr>
            <w:r>
              <w:rPr>
                <w:rFonts w:ascii="游ゴシック" w:hAnsi="游ゴシック" w:eastAsia="游ゴシック"/>
                <w:b w:val="0"/>
                <w:i w:val="0"/>
                <w:sz w:val="17"/>
              </w:rPr>
              <w:t>10月19日（月）</w:t>
            </w:r>
          </w:p>
        </w:tc>
        <w:tc>
          <w:tcPr>
            <w:tcW w:type="dxa" w:w="510"/>
            <w:vAlign w:val="center"/>
          </w:tcPr>
          <w:p>
            <w:pPr>
              <w:keepNext/>
              <w:spacing w:before="20" w:after="20"/>
              <w:jc w:val="right"/>
            </w:pPr>
            <w:r>
              <w:rPr>
                <w:rFonts w:ascii="游ゴシック" w:hAnsi="游ゴシック" w:eastAsia="游ゴシック"/>
                <w:b w:val="0"/>
                <w:i w:val="0"/>
                <w:sz w:val="17"/>
              </w:rPr>
              <w:t>2</w:t>
            </w:r>
          </w:p>
        </w:tc>
        <w:tc>
          <w:tcPr>
            <w:tcW w:type="dxa" w:w="567"/>
            <w:vAlign w:val="center"/>
          </w:tcPr>
          <w:p>
            <w:pPr>
              <w:keepNext/>
              <w:spacing w:before="20" w:after="20"/>
            </w:pPr>
            <w:r>
              <w:rPr>
                <w:rFonts w:ascii="游ゴシック" w:hAnsi="游ゴシック" w:eastAsia="游ゴシック"/>
                <w:b w:val="0"/>
                <w:i w:val="0"/>
                <w:sz w:val="17"/>
              </w:rPr>
              <w:t>T34</w:t>
            </w:r>
          </w:p>
        </w:tc>
        <w:tc>
          <w:tcPr>
            <w:tcW w:type="dxa" w:w="6066"/>
            <w:vAlign w:val="center"/>
          </w:tcPr>
          <w:p>
            <w:pPr>
              <w:keepNext/>
              <w:spacing w:before="20" w:after="20"/>
            </w:pPr>
            <w:r>
              <w:rPr>
                <w:rFonts w:ascii="游ゴシック" w:hAnsi="游ゴシック" w:eastAsia="游ゴシック"/>
                <w:b w:val="0"/>
                <w:i w:val="0"/>
                <w:sz w:val="17"/>
              </w:rPr>
              <w:t>色覚への配慮の点検（図の色と凡例）</w:t>
            </w:r>
          </w:p>
        </w:tc>
        <w:tc>
          <w:tcPr>
            <w:tcW w:type="dxa" w:w="1247"/>
            <w:vAlign w:val="center"/>
          </w:tcPr>
          <w:p>
            <w:pPr>
              <w:keepNext/>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10月19日（月）</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T35</w:t>
            </w:r>
          </w:p>
        </w:tc>
        <w:tc>
          <w:tcPr>
            <w:tcW w:type="dxa" w:w="6066"/>
            <w:vAlign w:val="center"/>
          </w:tcPr>
          <w:p>
            <w:pPr>
              <w:spacing w:before="20" w:after="20"/>
            </w:pPr>
            <w:r>
              <w:rPr>
                <w:rFonts w:ascii="游ゴシック" w:hAnsi="游ゴシック" w:eastAsia="游ゴシック"/>
                <w:b w:val="0"/>
                <w:i w:val="0"/>
                <w:sz w:val="17"/>
              </w:rPr>
              <w:t>障がい計画　素案の体裁・紙面の点検を高齢者と同じ水準にする</w:t>
            </w:r>
          </w:p>
        </w:tc>
        <w:tc>
          <w:tcPr>
            <w:tcW w:type="dxa" w:w="1247"/>
            <w:vAlign w:val="center"/>
          </w:tcPr>
          <w:p>
            <w:pPr>
              <w:spacing w:before="20" w:after="20"/>
              <w:jc w:val="right"/>
            </w:pPr>
            <w:r>
              <w:rPr>
                <w:rFonts w:ascii="游ゴシック" w:hAnsi="游ゴシック" w:eastAsia="游ゴシック"/>
                <w:b w:val="0"/>
                <w:i w:val="0"/>
                <w:sz w:val="17"/>
              </w:rPr>
              <w:t>2.0</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pStyle w:val="Heading1"/>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資料：業務進捗管理表（17_業務進捗管理）令和8年10月15日版。高齢者計画のWBS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計画策定業務　ペンディング項目の整理と作業順位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