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東川町が令和6〜8年度を対象とする事業の数値目標を6事業10項目以上設定している一方、美瑛町・東神楽町は事業の数値目標を設定していません。広域連合の代表KPIの検証に参画することを明記していたのも東川町のみです。第10期では、3町の計画に共通KPIを掲載していただくことを前提として役割分担表を構成しています（資料2）。</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当広域連合では同調査を実施していないため、家族の就業の状況・意向は、健康とくらしの調査及び在宅生活改善調査の結果により把握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ただしこの判定は人口規模、公共交通及び除雪率の組合せによるものであり、該当の判定に必要な各事業所の通常の事業の実施地域は確認していません。実施地域の提供を受けたうえで確定します。美馬牛地区にはJR富良野線美馬牛駅があります。美瑛町の面積は676.78km²で東神楽町（68.5km²）の約9.9倍であり、同じ町内でも移動距離が大きく異なります。また東川町は大雪山国立公園を含み面積247.3km²であり、山間部の居住状況にも差があります。注4）訪問・通所困難地域の判定は、区域内の訪問系・通所系サービスを提供する全事業所の通常の事業の実施地域に基づき確定し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北海道が管内の広域連合（道内24広域連合）に対して読替えの考え方を示している場合は、それに従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注2）75歳以上人口は、見える化A3（後期高齢者数）の本広域連合計（令和2年5,167人）を第9期計画の町別高齢化率で按分した推計値です。基準は令和2年国勢調査を用いることとしているため、判定は同調査による3町の面積及び75歳以上人口の確定値により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は第6章第6節に示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注）地域密着型通所介護については、事業所数と従事者数が減らないまま給付費が27.0％減少しており、稼働率の低下が疑われます。ただし稼働率そのものは確認しておらず、第10期基本指針案の別表 七が求める「稼働率」の把握が必要となる典型例です。4事業所の定員、登録者数及び延べ利用者数を年次で把握します（第5章 基本目標3）。</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H12（必要サービス未充足率）及びH16（災害・感染症時の必須サービス継続率）は、事業所を対象とする調査を必要とするため、データ源を確定したうえで基準値を設定します。代理指標への振替えを含めて検討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く、区域外施設の利用の影響も含むため、自給率の算定により要因を特定し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確定していないため、施策単位の達成・未達の成果評価は、実績の確定後に同一の定義で判定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本節の分析は、総合得点、目標別及び指標群別の得点並びに目標Ⅰ～Ⅳの内訳によります。0点となっている項目については、取組自体を行っていないのか、取組はあるが要件を満たさないのかを、評価調書との突合により判別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目標値は、第9期実績、健康とくらしの調査、在宅生活改善調査、居所変更実態調査及び2029年・2040年推計に基づいて設定します。認定率や利用率は一律に低下を目標とせず、適正水準と要因を評価します。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24時間対応サービスの確保方策の決定に当たっては、①要介護4・5の在宅生活者の夜間・深夜のニーズ、②事業者の参入意向、③旭川市の事業所の受入可能性、④特定地域居宅サービス等事業の適用可否、の4点を踏まえ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注）必要保険料月額は、当該年度の保険給付費及び地域支援事業費から逆算した概算値です。剰余の額は、基金残高及び取崩実績の推移と併せて第6節に示します。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H07・H08・H12・H16の4項目は、事業所を対象とする調査をデータ源とするため、データ源を確定したうえで基準値を設定しま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東川町が訪問型サービス利用者数200人／年、通所型サービス利用者数150人／年、介護予防ケアマネジメント件数720件／年等の数値目標を令和6〜8年度について設定しています。美瑛町・東神楽町は事業の数値目標を設定していません。第10期では、3町の計画に共通KPIを掲載していただくことが本表の実効性の前提となります。東川町には目標を年度別に設定し実績と対比する仕組みが既にあるため、同町の様式を参考として共有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