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  <w:p>
      <w:pPr>
        <w:spacing w:after="100" w:before="200" w:line="32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5"/>
          <w:szCs w:val="25"/>
        </w:rPr>
        <w:t xml:space="preserve">川崎町 高齢者保健福祉計画・第10期介護保険事業計画</w:t>
      </w:r>
    </w:p>
    <w:p>
      <w:pPr>
        <w:spacing w:after="100" w:before="200" w:line="32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5"/>
          <w:szCs w:val="25"/>
        </w:rPr>
        <w:t xml:space="preserve">施策・事業の体系（Ｃ案）</w:t>
      </w:r>
    </w:p>
    <w:p>
      <w:pPr>
        <w:spacing w:after="80" w:before="50" w:line="320"/>
        <w:ind w:firstLine="200"/>
        <w:jc w:val="left"/>
      </w:pPr>
      <w:r>
        <w:rPr>
          <w:rFonts w:ascii="游ゴシック" w:cs="游ゴシック" w:eastAsia="游ゴシック" w:hAnsi="游ゴシック"/>
          <w:i w:val="false"/>
          <w:iCs w:val="false"/>
          <w:sz w:val="21"/>
          <w:szCs w:val="21"/>
        </w:rPr>
        <w:t xml:space="preserve">令和8年9月25日　ビズアップ公共コンサルティング株式会社</w:t>
      </w:r>
    </w:p>
    <w:p>
      <w:pPr>
        <w:spacing w:after="80" w:before="50" w:line="320"/>
        <w:ind w:firstLine="200"/>
        <w:jc w:val="left"/>
      </w:pPr>
      <w:r>
        <w:rPr>
          <w:rFonts w:ascii="游ゴシック" w:cs="游ゴシック" w:eastAsia="游ゴシック" w:hAnsi="游ゴシック"/>
          <w:i w:val="false"/>
          <w:iCs w:val="false"/>
          <w:sz w:val="21"/>
          <w:szCs w:val="21"/>
        </w:rPr>
        <w:t xml:space="preserve">本表は、町ご提示の「施策・事業の体系（案）」の章立てを基本とし、認知症施策のみを独立章（第5章）に引き上げたものです（第2回策定委員会 選択1のＣ案）。体系（案）にない施策（家族介護者支援・介護離職防止・広域医療連携・重層的支援体制・住所地特例への対応・計画値と実績値の乖離のモニタリング）を各章に加えています。</w:t>
      </w:r>
    </w:p>
    <w:p>
      <w:pPr>
        <w:spacing w:after="80" w:before="50" w:line="320"/>
        <w:ind w:firstLine="200"/>
        <w:jc w:val="left"/>
      </w:pPr>
      <w:r>
        <w:rPr>
          <w:rFonts w:ascii="游ゴシック" w:cs="游ゴシック" w:eastAsia="游ゴシック" w:hAnsi="游ゴシック"/>
          <w:i w:val="false"/>
          <w:iCs w:val="false"/>
          <w:sz w:val="21"/>
          <w:szCs w:val="21"/>
        </w:rPr>
        <w:t xml:space="preserve">区分は、継続（第9期の事業をそのまま実施）、拡充（内容・対象・量を広げる）、再編（複数の事業を束ねる又は位置付けを改める）、新規（第10期で新たに立てる）、再掲（他章の事業を法令上の対応を示すために再掲。事業数に数えない）の別です。</w:t>
      </w:r>
    </w:p>
    <w:p>
      <w:pPr>
        <w:spacing w:after="80" w:before="180" w:line="30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2"/>
          <w:szCs w:val="22"/>
        </w:rPr>
        <w:t xml:space="preserve">　▌ 全体の構成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2"/>
        <w:gridCol w:w="48"/>
        <w:gridCol w:w="48"/>
        <w:gridCol w:w="72"/>
      </w:tblGrid>
      <w:tr>
        <w:tc>
          <w:tcPr>
            <w:tcW w:type="dxa" w:w="23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章</w:t>
            </w:r>
          </w:p>
        </w:tc>
        <w:tc>
          <w:tcPr>
            <w:tcW w:type="dxa" w:w="4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節</w:t>
            </w:r>
          </w:p>
        </w:tc>
        <w:tc>
          <w:tcPr>
            <w:tcW w:type="dxa" w:w="4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項</w:t>
            </w:r>
          </w:p>
        </w:tc>
        <w:tc>
          <w:tcPr>
            <w:tcW w:type="dxa" w:w="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事業数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第１章 健康づくりの推進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17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第２章 高齢者が安心して暮らせるまちづくりの推進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8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第３章 地域生活を支援する取り組みの充実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25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第４章 地域支援事業の充実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30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第５章 認知症施策の推進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6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28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第６章 介護給付・介護予防給付サービスの充実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26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第７章 地域マネジメントに関する事項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―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9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9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計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17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37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143</w:t>
            </w:r>
          </w:p>
        </w:tc>
      </w:tr>
    </w:tbl>
    <w:p>
      <w:pPr>
        <w:spacing w:after="80" w:before="50" w:line="320"/>
        <w:ind w:firstLine="200"/>
        <w:jc w:val="left"/>
      </w:pPr>
      <w:r>
        <w:rPr>
          <w:rFonts w:ascii="游ゴシック" w:cs="游ゴシック" w:eastAsia="游ゴシック" w:hAnsi="游ゴシック"/>
          <w:i w:val="false"/>
          <w:iCs w:val="false"/>
          <w:sz w:val="21"/>
          <w:szCs w:val="21"/>
        </w:rPr>
        <w:t xml:space="preserve">継続103・拡充17・新規23（ほかに他章からの再掲4）です。体系（案）の117事業のうち、認知症施策の14事業は第5章へ移しています。</w:t>
      </w:r>
    </w:p>
    <w:p>
      <w:pPr>
        <w:spacing w:after="100" w:before="200" w:line="32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5"/>
          <w:szCs w:val="25"/>
        </w:rPr>
        <w:t xml:space="preserve">第１章 健康づくりの推進</w:t>
      </w:r>
    </w:p>
    <w:p>
      <w:pPr>
        <w:spacing w:after="80" w:before="180" w:line="30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2"/>
          <w:szCs w:val="22"/>
        </w:rPr>
        <w:t xml:space="preserve">　▌ 第１節 生涯を通じた健康づくりの推進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"/>
        <w:gridCol w:w="120"/>
        <w:gridCol w:w="24"/>
        <w:gridCol w:w="168"/>
      </w:tblGrid>
      <w:tr>
        <w:tc>
          <w:tcPr>
            <w:tcW w:type="dxa" w:w="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項</w:t>
            </w:r>
          </w:p>
        </w:tc>
        <w:tc>
          <w:tcPr>
            <w:tcW w:type="dxa" w:w="1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事業</w:t>
            </w:r>
          </w:p>
        </w:tc>
        <w:tc>
          <w:tcPr>
            <w:tcW w:type="dxa" w:w="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区分</w:t>
            </w:r>
          </w:p>
        </w:tc>
        <w:tc>
          <w:tcPr>
            <w:tcW w:type="dxa" w:w="16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根拠・備考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１　生涯を通じた健康づくりの推進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（１）健康づくりのための正しい知識の普及・啓発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調：治療中の病気は高血圧54.2％・高脂血症18.0％・糖尿病17.6％（n=528）／健康かわさき21との整合を確認する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（２）生活習慣病対策の充実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拡充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調：体格別にみると肥満層の高血圧は66.0％で標準層50.2％を大きく上回る（n=141）／体格（BMI）区分により保健指導の対象を絞り込む。素案2-6に分析を新設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（３）住民との協働による健康づくりの推進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（４）健康相談の充実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（５）健康づくり団体などの育成・支援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ユニバーサルサポーター制度（第4章第1節2(7)）と連動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２　医療機関との連携の推進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（１）連携による医療内容の充実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（２）かかりつけ医制度の普及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（３）町外医療機関との広域連携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新規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実：専門医療・夜間救急はみやぎ県南中核病院・刈田綜合病院への依存が大きい／体系（案）にない施策。素案5-3「広域医療連携【重点】」を移設。通院の移動・付添に係る家族負担が大きく、移動支援（第3章）と一体で検討する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３　感染症対策の推進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（１）高齢者の感染症予防と発生時の対応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体系（案）では事業名の記載がないため仮に置いた。実施内容（予防接種・施設内感染対策等）を【町確認】</w:t>
            </w:r>
          </w:p>
        </w:tc>
      </w:tr>
    </w:tbl>
    <w:p>
      <w:pPr>
        <w:spacing w:after="80" w:before="180" w:line="30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2"/>
          <w:szCs w:val="22"/>
        </w:rPr>
        <w:t xml:space="preserve">　▌ 第２節 健康診査・保健指導等の充実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"/>
        <w:gridCol w:w="120"/>
        <w:gridCol w:w="24"/>
        <w:gridCol w:w="168"/>
      </w:tblGrid>
      <w:tr>
        <w:tc>
          <w:tcPr>
            <w:tcW w:type="dxa" w:w="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項</w:t>
            </w:r>
          </w:p>
        </w:tc>
        <w:tc>
          <w:tcPr>
            <w:tcW w:type="dxa" w:w="1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事業</w:t>
            </w:r>
          </w:p>
        </w:tc>
        <w:tc>
          <w:tcPr>
            <w:tcW w:type="dxa" w:w="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区分</w:t>
            </w:r>
          </w:p>
        </w:tc>
        <w:tc>
          <w:tcPr>
            <w:tcW w:type="dxa" w:w="16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根拠・備考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１　健康診査・保健指導等の充実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（１）特定健康診査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（２）特定保健指導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（３）各種がん検診の実施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２　各種保健事業の推進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（１）各種検診の受診勧奨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（２）生活習慣病重症化予防事業の推進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（３）集団健康教育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（４）総合健康相談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（５）こころの健康づくりの推進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拡充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調：この1か月に気分が沈むことがあった34.7％・物事に興味がわかない25.0％（n=541）／趣味がある人の75.3％が生きがいもあると回答（趣味が思いつかない人は14.5％）。通いの場・趣味活動との連動が有効</w:t>
            </w:r>
          </w:p>
        </w:tc>
      </w:tr>
    </w:tbl>
    <w:p>
      <w:pPr>
        <w:spacing w:after="100" w:before="200" w:line="32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5"/>
          <w:szCs w:val="25"/>
        </w:rPr>
        <w:t xml:space="preserve">第２章 高齢者が安心して暮らせるまちづくりの推進</w:t>
      </w:r>
    </w:p>
    <w:p>
      <w:pPr>
        <w:spacing w:after="80" w:before="180" w:line="30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2"/>
          <w:szCs w:val="22"/>
        </w:rPr>
        <w:t xml:space="preserve">　▌ 第１節 住みやすい環境整備の推進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"/>
        <w:gridCol w:w="120"/>
        <w:gridCol w:w="24"/>
        <w:gridCol w:w="168"/>
      </w:tblGrid>
      <w:tr>
        <w:tc>
          <w:tcPr>
            <w:tcW w:type="dxa" w:w="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項</w:t>
            </w:r>
          </w:p>
        </w:tc>
        <w:tc>
          <w:tcPr>
            <w:tcW w:type="dxa" w:w="1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事業</w:t>
            </w:r>
          </w:p>
        </w:tc>
        <w:tc>
          <w:tcPr>
            <w:tcW w:type="dxa" w:w="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区分</w:t>
            </w:r>
          </w:p>
        </w:tc>
        <w:tc>
          <w:tcPr>
            <w:tcW w:type="dxa" w:w="16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根拠・備考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１　住みやすい環境整備の推進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（１）歩道のバリアフリー化の推進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法：認知症基本法第15条（生活におけるバリアフリー化の推進）／第5章第3節に再掲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（２）ユニバーサルデザインに配慮した公共施設等の整備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（３）高齢者が生活しやすい住居環境の整備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調：持家（一戸建て）95.3％（n=556）／住宅改修（第6章第1節1(13)）と連動</w:t>
            </w:r>
          </w:p>
        </w:tc>
      </w:tr>
    </w:tbl>
    <w:p>
      <w:pPr>
        <w:spacing w:after="80" w:before="180" w:line="30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2"/>
          <w:szCs w:val="22"/>
        </w:rPr>
        <w:t xml:space="preserve">　▌ 第２節 災害発生時の対策、防犯・事故防止の推進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"/>
        <w:gridCol w:w="120"/>
        <w:gridCol w:w="24"/>
        <w:gridCol w:w="168"/>
      </w:tblGrid>
      <w:tr>
        <w:tc>
          <w:tcPr>
            <w:tcW w:type="dxa" w:w="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項</w:t>
            </w:r>
          </w:p>
        </w:tc>
        <w:tc>
          <w:tcPr>
            <w:tcW w:type="dxa" w:w="1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事業</w:t>
            </w:r>
          </w:p>
        </w:tc>
        <w:tc>
          <w:tcPr>
            <w:tcW w:type="dxa" w:w="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区分</w:t>
            </w:r>
          </w:p>
        </w:tc>
        <w:tc>
          <w:tcPr>
            <w:tcW w:type="dxa" w:w="16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根拠・備考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１　災害発生時の高齢者支援対策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（１）避難行動要支援者マニュアルの作成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拡充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調：転倒経験33.6％（n=572）・転倒不安51.9％（n=543）／転倒経験・転倒不安の高さは避難行動要支援者名簿・個別避難計画の優先度検討に資する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（２）地域の防火・防災対策の推進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２　防犯・事故防止の推進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（１）防犯対策の充実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素案に記載がなかった事業。第5章に取り込む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（２）交通安全対策の推進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法：認知症基本法第15条（交通の安全の確保）／素案に記載がなかった事業。第5章第3節に再掲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（３）消費者被害の防止と救済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法：認知症基本法第17条（消費生活における被害を防止するための啓発）／素案に記載がなかった事業。第5章第5節2に再掲</w:t>
            </w:r>
          </w:p>
        </w:tc>
      </w:tr>
    </w:tbl>
    <w:p>
      <w:pPr>
        <w:spacing w:after="100" w:before="200" w:line="32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5"/>
          <w:szCs w:val="25"/>
        </w:rPr>
        <w:t xml:space="preserve">第３章 地域生活を支援する取り組みの充実</w:t>
      </w:r>
    </w:p>
    <w:p>
      <w:pPr>
        <w:spacing w:after="80" w:before="180" w:line="30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2"/>
          <w:szCs w:val="22"/>
        </w:rPr>
        <w:t xml:space="preserve">　▌ 第１節 地域における高齢者の生活支援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"/>
        <w:gridCol w:w="120"/>
        <w:gridCol w:w="24"/>
        <w:gridCol w:w="168"/>
      </w:tblGrid>
      <w:tr>
        <w:tc>
          <w:tcPr>
            <w:tcW w:type="dxa" w:w="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項</w:t>
            </w:r>
          </w:p>
        </w:tc>
        <w:tc>
          <w:tcPr>
            <w:tcW w:type="dxa" w:w="1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事業</w:t>
            </w:r>
          </w:p>
        </w:tc>
        <w:tc>
          <w:tcPr>
            <w:tcW w:type="dxa" w:w="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区分</w:t>
            </w:r>
          </w:p>
        </w:tc>
        <w:tc>
          <w:tcPr>
            <w:tcW w:type="dxa" w:w="16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根拠・備考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１　福祉サービスの提供による生活支援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（１）外出支援サービス（移送サービス）事業【重点】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調：移動手段は自動車（自分で運転）74.1％に対し路線バス5.4％（n=536）／（１）〜（３）を「移動支援の再構築」として一体で運用する。所管が分かれているため利用情報の一元化が課題（確認事項No.107）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（２）デマンド型乗合タクシーの運行【重点】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調：外出を控えている19.1％、理由「交通手段がない」19.8％（n=101）／令和7年3月で高齢者外出タクシー利用助成が終了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（３）町民バスの運行【重点】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（４）会食サービス事業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調：どなたかと食事をともにする機会が「ほとんどない」4.2％（n=565）／素案に記載がなかった事業。低栄養リスク該当4人への個別対応の入口となる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（５）緊急通報システム事業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調：1人暮らし14.7％・夫婦2人暮らし（配偶者65歳以上）33.5％（n=564）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（６）老人クラブ助成事業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（７）敬老会開催事業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素案に記載がなかった事業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（８）敬老祝金支給事業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素案に記載がなかった事業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２　住民主体の高齢者の支援体制の充実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（１）社会福祉協議会との連携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（２）高齢者見守り体制の整備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（３）ふれあいネットワーク活動の推進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活動員15名・協力員130名（計145名）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（４）地域コミュニティ活動への支援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（５）ボランティア活動の振興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調：グループ活動に参加者として参加したい55.2％に対し企画・運営として参加したい41.4％（n=539）／担い手の確保が課題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３　家族介護者への支援【新設】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（１）家族介護教室の開催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新規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主な介護者の不安は「認知症状への対応」33.3％・「外出の付き添い、送迎等」33.3％（n=75）／地域支援事業（任意事業）の家族介護支援事業として実施。第4章第2節3(3)介護用品の支給と一体で国の家族介護支援事業に当たる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（２）家族介護者の相談・交流の場（ピアサポート）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新規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調：主な介護者の70歳以上42.1％（n=76）。第9期35.3％から＋6.8ポイント／同上。介護者の孤立防止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（３）レスパイト（短期入所）の利用支援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新規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調：本人が男性の世帯では主な介護者の70.6％が70歳以上（n=34）。夫婦のみ世帯では81.3％（n=16）／介護者の高齢化対策の主たる対象は本人が男性の世帯・夫婦のみ世帯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（４）介護離職の防止・仕事と介護の両立支援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新規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働きながらの介護継続が「難しい」計25.6％。第9期17.2％から＋8.4ポイント。介護のために離職・転職した世帯19.1％（n=68）／両立支援の主たる対象は本人が女性の世帯（介護者の43.6％が50代以下・フルタイム就労41.0％）。町単独事業のため地域支援事業の対象外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（５）支援が届いていない世帯の把握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新規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家族介護もサービス利用もない世帯50件（36.2％・n=138）。うち64.0％が施設入所を申込済み／「単身世帯かつ家族介護なし」は24件中20件（83.3％）が申込済みで最も高い。ケアマネジャー・民生委員・ふれあいネットワークと連携して把握する（確認事項No.111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（６）ヤングケアラー・ダブルケアへの対応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新規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実：地域福祉計画・障害者計画との3計画同時策定／重層的支援体制整備事業（第4章第2節1(8)）に接続</w:t>
            </w:r>
          </w:p>
        </w:tc>
      </w:tr>
    </w:tbl>
    <w:p>
      <w:pPr>
        <w:spacing w:after="80" w:before="180" w:line="30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2"/>
          <w:szCs w:val="22"/>
        </w:rPr>
        <w:t xml:space="preserve">　▌ 第２節 高齢者の社会参加の促進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"/>
        <w:gridCol w:w="120"/>
        <w:gridCol w:w="24"/>
        <w:gridCol w:w="168"/>
      </w:tblGrid>
      <w:tr>
        <w:tc>
          <w:tcPr>
            <w:tcW w:type="dxa" w:w="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項</w:t>
            </w:r>
          </w:p>
        </w:tc>
        <w:tc>
          <w:tcPr>
            <w:tcW w:type="dxa" w:w="1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事業</w:t>
            </w:r>
          </w:p>
        </w:tc>
        <w:tc>
          <w:tcPr>
            <w:tcW w:type="dxa" w:w="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区分</w:t>
            </w:r>
          </w:p>
        </w:tc>
        <w:tc>
          <w:tcPr>
            <w:tcW w:type="dxa" w:w="16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根拠・備考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１　高齢者の社会参加の促進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（１）老人クラブ活動の支援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調：老人クラブに参加していない84.1％（n=453）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（２）生涯学習の推進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調：学習・教養活動に参加していない89.0％（n=420）／素案に記載がなかった事業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（３）高齢者の健康づくり・スポーツ活動の振興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調：スポーツ活動に参加していない76.1％（n=443）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（４）高齢者と若い世代との交流の推進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拡充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調：生きがいの自由記述256件のうち「孫」に関する記述が65件（25.4％）と突出／素案に記載がなかった事業。「通いの場」型の施策だけでは届かない層に対する世代間交流の視点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（５）地域交流活動の推進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（６）シルバー人材センターの活用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調：生きがいの自由記述で「仕事」19件。就労状態「引退した」48.8％／素案に記載がなかった事業。就労の継続を生きがいとして支える</w:t>
            </w:r>
          </w:p>
        </w:tc>
      </w:tr>
    </w:tbl>
    <w:p>
      <w:pPr>
        <w:spacing w:after="100" w:before="200" w:line="32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5"/>
          <w:szCs w:val="25"/>
        </w:rPr>
        <w:t xml:space="preserve">第４章 地域支援事業の充実</w:t>
      </w:r>
    </w:p>
    <w:p>
      <w:pPr>
        <w:spacing w:after="80" w:before="180" w:line="30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2"/>
          <w:szCs w:val="22"/>
        </w:rPr>
        <w:t xml:space="preserve">　▌ 第１節 介護予防・日常生活支援総合事業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"/>
        <w:gridCol w:w="120"/>
        <w:gridCol w:w="24"/>
        <w:gridCol w:w="168"/>
      </w:tblGrid>
      <w:tr>
        <w:tc>
          <w:tcPr>
            <w:tcW w:type="dxa" w:w="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項</w:t>
            </w:r>
          </w:p>
        </w:tc>
        <w:tc>
          <w:tcPr>
            <w:tcW w:type="dxa" w:w="1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事業</w:t>
            </w:r>
          </w:p>
        </w:tc>
        <w:tc>
          <w:tcPr>
            <w:tcW w:type="dxa" w:w="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区分</w:t>
            </w:r>
          </w:p>
        </w:tc>
        <w:tc>
          <w:tcPr>
            <w:tcW w:type="dxa" w:w="16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根拠・備考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１　介護予防・生活支援サービス事業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（１）訪問型サービス（訪問介護相当サービス、訪問型サービスＢ・Ｃ）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委：訪問介護は町内で登録21名に対し実働4名／第2回策定委員会 選択3Ｃ（住民主体サービスによる補完）の対象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（２）通所型サービス（通所介護相当サービス、通所型サービスＢ）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同上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（３）介護予防ケアマネジメント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（４）生活支援サービス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（５）高額介護予防サービス相当事業等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２　一般介護予防事業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（１）介護予防把握事業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（２）介護予防普及啓発事業（元気まんてん介護予防教室、元気いきいきセミナー、パドル体操教室、ノルディックウォーキング教室等）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調：転倒経験33.6％・転倒不安51.9％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（３）地域介護予防活動支援事業（介護予防サロン、ヨーガ教室等）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拡充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調：通いの場に参加していない84.1％（n=439）に対しグループ活動への参加意向55.2％（n=543）／参加意向と実際の参加の開きが大きい。移動支援との連動が課題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（４）一般介護予防事業評価事業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拡充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交：令和8年度の保険者機能強化推進交付金で「評価結果の活用」が令和7年度の満点16点から0点／第7章8（計画値と実績値の乖離のモニタリング）と連動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（５）地域リハビリテーション活動支援事業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（６）介護予防・地域ささえあいサポート拠点事業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（８）介護予防ポイント事業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交：支援 目標Ⅰ「ポイント事業への参加率」3／4点で県内1位（宮城平均0.6・全国平均1.2）／令和8年9月25日の交付金データの再解析で判明。町の事業一覧・計画素案のいずれにも記載がなかった。事業内容（参加者数・ポイントの仕組み）を確認中【町確認】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（９）アウトリーチによる参加勧奨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交：支援 目標Ⅰ「アウトリーチ等の取組状況」9点満点で県内1位／同上。調査では通いの場への参加意向55.2％に対し参加率15.9％であり、この開きを埋める手段として施策上の意味が大きい。対象者の抽出方法・訪問件数を確認中【町確認】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（７）ユニバーサルサポーター制度の推進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実：介護予防サロン84名・スマイルサポーター40名・レクリエーションサポーター29名・傾聴24名／町独自の制度。住民主体の通いの場活動の基盤</w:t>
            </w:r>
          </w:p>
        </w:tc>
      </w:tr>
    </w:tbl>
    <w:p>
      <w:pPr>
        <w:spacing w:after="80" w:before="180" w:line="30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2"/>
          <w:szCs w:val="22"/>
        </w:rPr>
        <w:t xml:space="preserve">　▌ 第２節 包括的支援事業・任意事業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"/>
        <w:gridCol w:w="120"/>
        <w:gridCol w:w="24"/>
        <w:gridCol w:w="168"/>
      </w:tblGrid>
      <w:tr>
        <w:tc>
          <w:tcPr>
            <w:tcW w:type="dxa" w:w="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項</w:t>
            </w:r>
          </w:p>
        </w:tc>
        <w:tc>
          <w:tcPr>
            <w:tcW w:type="dxa" w:w="1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事業</w:t>
            </w:r>
          </w:p>
        </w:tc>
        <w:tc>
          <w:tcPr>
            <w:tcW w:type="dxa" w:w="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区分</w:t>
            </w:r>
          </w:p>
        </w:tc>
        <w:tc>
          <w:tcPr>
            <w:tcW w:type="dxa" w:w="16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根拠・備考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１　包括的支援システムの充実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（１）地域包括支援センター運営事業【重点】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拡充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実：保健師3名＋認定調査員1名の4名体制。認定調査業務との兼務で業務量が過多／第10期の体制強化が課題。ケアプランの外部委託あり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（２）包括的相談体制の整備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拡充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調：家族・友人以外に相談できる相手が「いない」38.8％（n=484）。世帯構成による差は小さい（χ²検定 p=0.366）／相談窓口の不在は独居かどうかによらない共通の課題。対象を絞らない全戸的な周知が有効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（３）総合相談支援・権利擁護事業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（４）包括的・継続的ケアマネジメント支援事業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（５）自立支援型地域ケア会議の充実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拡充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交：取組（プロセス）は全国上位である一方、要介護度の変化等のアウトカムは全国下位／ケース検討から地域課題の抽出への展開を重点化する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（６）在宅医療・介護連携推進事業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拡充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交：支援 目標Ⅲ 体制3指標はいずれも満点・県内1位である一方、「人生の最終段階における支援」0／16点・県内31位、「入退院支援」4／16点・県内23位。実：国民健康保険川崎病院が町内唯一の医療拠点／退院前カンファレンス・ACP（人生会議）の普及。町外医療機関との広域連携（第1章第1節2(3)）と一体で運用する。体制は整っているが活動量が伴っていないため、ACPと入退院支援の実施件数を第10期の重点とする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（７）高齢者虐待の早期発見、早期解決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（８）重層的支援体制整備事業との連動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新規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実：令和8年度からの地域福祉計画・障害者計画との3計画同時策定／体系（案）にない施策。8050問題・ヤングケアラー・ダブルケア等の複合的な課題を抱える世帯への包括的支援。地域福祉計画・障害者計画はジャパン総研が策定担当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２　生活支援サービスの体制整備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（１）生活支援コーディネーター（地域支え合い推進員）活動の推進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拡充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交：支援 目標Ⅰ「生活支援コーディネーター数」4点満点・県内1位である一方、「地域ケア会議への参加割合」0／4点・県内25位。実：生活支援コーディネーター25名・第1層協議体・第2層協議体／配置数は県内1位だが会議への参加が0点。自立支援型地域ケア会議（第2節1(5)）への出席を運用で確保すれば得点できる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（２）生活支援コーディネーター（地域支え合い推進員）の確保と研修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（３）生活支援・介護予防サービスのネットワーク（協議体）の推進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（４）生活支援・介護予防サービスの推進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３　任意事業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（１）介護給付費等適正化事業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第7章2（介護費用適正化の推進）と一体で運用する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（２）成年後見制度利用支援事業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法：認知症基本法第17条（意思決定の支援及び権利利益の保護）／第5章第5節2に再掲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（３）介護用品（紙おむつ等）の支給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実：月額2,000円〜5,000円分を支給／国の家族介護支援事業（家族介護継続支援事業）に当たる。第3章第1節3の家族介護教室・交流の場と一体で運用する。支給額・対象要件は町の要綱又は予算書により確定する【町確認】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（４）配食サービス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調：低栄養リスク該当0.7％（4人）／第3章第1節1(4)会食サービス事業と一体で運用する</w:t>
            </w:r>
          </w:p>
        </w:tc>
      </w:tr>
    </w:tbl>
    <w:p>
      <w:pPr>
        <w:spacing w:after="100" w:before="200" w:line="32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5"/>
          <w:szCs w:val="25"/>
        </w:rPr>
        <w:t xml:space="preserve">第５章 認知症施策の推進</w:t>
      </w:r>
    </w:p>
    <w:p>
      <w:pPr>
        <w:spacing w:after="80" w:before="180" w:line="30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2"/>
          <w:szCs w:val="22"/>
        </w:rPr>
        <w:t xml:space="preserve">　▌ 第１節 計画の策定・推進の手続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"/>
        <w:gridCol w:w="120"/>
        <w:gridCol w:w="24"/>
        <w:gridCol w:w="168"/>
      </w:tblGrid>
      <w:tr>
        <w:tc>
          <w:tcPr>
            <w:tcW w:type="dxa" w:w="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項</w:t>
            </w:r>
          </w:p>
        </w:tc>
        <w:tc>
          <w:tcPr>
            <w:tcW w:type="dxa" w:w="1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事業</w:t>
            </w:r>
          </w:p>
        </w:tc>
        <w:tc>
          <w:tcPr>
            <w:tcW w:type="dxa" w:w="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区分</w:t>
            </w:r>
          </w:p>
        </w:tc>
        <w:tc>
          <w:tcPr>
            <w:tcW w:type="dxa" w:w="16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根拠・備考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１　認知症施策推進計画としての手続（法第13条）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（１）認知症の人及びその家族等からの意見聴取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新規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法：第13条第3項において準用する第12条第3項／計画書案の作成前に実施する。対象者の選定（認知症カフェの参加者・初期集中支援チームの対象者等）は町と協議のうえ決定する（確認事項No.90）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（２）計画の公表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新規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法：第13条第3項において準用する第12条第4項／第9期計画では行っていなかった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（３）実施状況の評価と結果の公表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新規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法：第13条第3項において準用する第12条第5項・第6項／交付金の評価指標「進捗状況の評価に当たり認知症の当事者の意見を聴いているか」と同内容（確認事項No.93）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（４）少なくとも5年ごとの検討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新規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法：第13条第3項において準用する第12条第7項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（５）他の計画との調和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新規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法：第13条第2項（地域福祉計画・老人福祉計画・介護保険事業計画等）／本計画を一体の計画として策定することにより調和を確保する</w:t>
            </w:r>
          </w:p>
        </w:tc>
      </w:tr>
    </w:tbl>
    <w:p>
      <w:pPr>
        <w:spacing w:after="80" w:before="180" w:line="30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2"/>
          <w:szCs w:val="22"/>
        </w:rPr>
        <w:t xml:space="preserve">　▌ 第２節 認知症の早期発見・早期対応の推進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"/>
        <w:gridCol w:w="120"/>
        <w:gridCol w:w="24"/>
        <w:gridCol w:w="168"/>
      </w:tblGrid>
      <w:tr>
        <w:tc>
          <w:tcPr>
            <w:tcW w:type="dxa" w:w="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項</w:t>
            </w:r>
          </w:p>
        </w:tc>
        <w:tc>
          <w:tcPr>
            <w:tcW w:type="dxa" w:w="1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事業</w:t>
            </w:r>
          </w:p>
        </w:tc>
        <w:tc>
          <w:tcPr>
            <w:tcW w:type="dxa" w:w="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区分</w:t>
            </w:r>
          </w:p>
        </w:tc>
        <w:tc>
          <w:tcPr>
            <w:tcW w:type="dxa" w:w="16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根拠・備考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１　認知症の早期発見・早期対応の推進（法第18条・第21条）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（１）認知症初期集中支援推進事業【重点】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拡充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実：訪問件数が令和5年度80件→令和6年度42件→令和7年度見込12件と2年で85％減／法第21条第2項の連携協力体制の整備に当たる。活動量の回復を図る場合は目標値を別に定める（確認事項No.89・No.96）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（２）もの忘れ相談の充実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実：年12回・延相談件数12件（令和7年度見込）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（４）難聴高齢者の早期発見・早期介入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交：支援 目標Ⅱ「難聴高齢者の早期発見・早期介入」20点満点で県内1位（宮城平均11.3・全国平均6.9）。法：認知症基本法第21条（認知症の予防等）／令和8年9月25日の交付金データの再解析で判明。町の事業一覧・計画素案のいずれにも記載がなかった。難聴は認知症の危険因子として国際的に確立しており、全国平均の約3倍の評価を得ている本町の強みである。事業内容（実施方法・対象・件数）を確認中【町確認】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（３）認知症の早期発見・早期治療の体制づくりの推進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調：認知症の相談窓口を知っている47.7％（n=547）。物忘れを自覚する層でも42.7％にとどまる（χ²検定 p=0.061・有意差なし）／健診等の機会を活用した周知強化</w:t>
            </w:r>
          </w:p>
        </w:tc>
      </w:tr>
    </w:tbl>
    <w:p>
      <w:pPr>
        <w:spacing w:after="80" w:before="180" w:line="30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2"/>
          <w:szCs w:val="22"/>
        </w:rPr>
        <w:t xml:space="preserve">　▌ 第３節 認知症地域支援・ケア向上の推進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"/>
        <w:gridCol w:w="120"/>
        <w:gridCol w:w="24"/>
        <w:gridCol w:w="168"/>
      </w:tblGrid>
      <w:tr>
        <w:tc>
          <w:tcPr>
            <w:tcW w:type="dxa" w:w="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項</w:t>
            </w:r>
          </w:p>
        </w:tc>
        <w:tc>
          <w:tcPr>
            <w:tcW w:type="dxa" w:w="1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事業</w:t>
            </w:r>
          </w:p>
        </w:tc>
        <w:tc>
          <w:tcPr>
            <w:tcW w:type="dxa" w:w="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区分</w:t>
            </w:r>
          </w:p>
        </w:tc>
        <w:tc>
          <w:tcPr>
            <w:tcW w:type="dxa" w:w="16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根拠・備考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１　認知症地域支援・ケア向上の推進（法第15条・第18条・第19条）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（１）認知症地域支援推進員の配置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実：令和4年度2人配置の後、令和5〜7年度見込は0人。交：業務の種類は6（全国平均5.27）／包括的支援事業の必須事業。0人となっている理由を確認中（確認事項No.88）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（２）認知症についての周知・啓発とネットワークの推進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（３）認知症カフェ（喫茶みかん）の運営支援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実：年47回・延利用者235人（令和7年度見込）／法第16条（経験等を共有できる機会の確保）にも当たる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（４）認知症の人と家族の相談支援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（５）認知症高齢者等見守りＱＲコード活用事業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法：認知症基本法第15条（地域において認知症の人を見守るための体制の整備）／素案に記載がなかった事業。利用実績を確認中（資料提供依頼No.35）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（６）認知症高齢者見守り体制の整備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（７）移動のための交通手段の確保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再掲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法：認知症基本法第15条／第3章第1節1(1)〜(3)の再掲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（８）交通の安全の確保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再掲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法：認知症基本法第15条／第2章第2節2(2)の再掲</w:t>
            </w:r>
          </w:p>
        </w:tc>
      </w:tr>
    </w:tbl>
    <w:p>
      <w:pPr>
        <w:spacing w:after="80" w:before="180" w:line="30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2"/>
          <w:szCs w:val="22"/>
        </w:rPr>
        <w:t xml:space="preserve">　▌ 第４節 認知症サポーター活動促進・地域づくりの推進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"/>
        <w:gridCol w:w="120"/>
        <w:gridCol w:w="24"/>
        <w:gridCol w:w="168"/>
      </w:tblGrid>
      <w:tr>
        <w:tc>
          <w:tcPr>
            <w:tcW w:type="dxa" w:w="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項</w:t>
            </w:r>
          </w:p>
        </w:tc>
        <w:tc>
          <w:tcPr>
            <w:tcW w:type="dxa" w:w="1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事業</w:t>
            </w:r>
          </w:p>
        </w:tc>
        <w:tc>
          <w:tcPr>
            <w:tcW w:type="dxa" w:w="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区分</w:t>
            </w:r>
          </w:p>
        </w:tc>
        <w:tc>
          <w:tcPr>
            <w:tcW w:type="dxa" w:w="16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根拠・備考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１　認知症サポーター活動促進・地域づくりの推進（法第14条）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（１）認知症サポーター養成講座の開催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拡充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交：「認知症サポーター数」0／12点・県内22位。令和7年3月31日時点577人。高齢者人口10万人当たり17,694人で全国1,592位／町提供データの累計642人との食い違いを確認中（確認事項No.94）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（２）認知症キャラバンメイトの養成・活動支援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実：累計80名（令和7年度見込）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（３）チームオレンジの整備・活動支援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拡充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交：ステップアップ講座修了者828人で全国188位（全国平均330人）／令和6年度に整備済み。第10期は活動の充実とチーム数の拡大。本町の強みは人数ではなく担い手の層（確認事項No.87）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（４）企業・学校等における認知症サポーターの養成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拡充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法：認知症基本法第14条（学校教育・社会教育における認知症教育の推進）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（５）認知症の人と家族を支える人材の育成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80" w:before="180" w:line="30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2"/>
          <w:szCs w:val="22"/>
        </w:rPr>
        <w:t xml:space="preserve">　▌ 第５節 認知症の人の社会参加・権利利益の保護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"/>
        <w:gridCol w:w="120"/>
        <w:gridCol w:w="24"/>
        <w:gridCol w:w="168"/>
      </w:tblGrid>
      <w:tr>
        <w:tc>
          <w:tcPr>
            <w:tcW w:type="dxa" w:w="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項</w:t>
            </w:r>
          </w:p>
        </w:tc>
        <w:tc>
          <w:tcPr>
            <w:tcW w:type="dxa" w:w="1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事業</w:t>
            </w:r>
          </w:p>
        </w:tc>
        <w:tc>
          <w:tcPr>
            <w:tcW w:type="dxa" w:w="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区分</w:t>
            </w:r>
          </w:p>
        </w:tc>
        <w:tc>
          <w:tcPr>
            <w:tcW w:type="dxa" w:w="16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根拠・備考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１　社会参加の機会の確保（法第16条）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（１）認知症本人ミーティングの開催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新規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法：認知症基本法第16条第1項（経験等を共有できる機会・社会参加の機会の確保）／体系（案）に対応する事業がなかった（確認事項No.112）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（２）若年性認知症の人の就労継続に関する事業主への啓発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新規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法：認知症基本法第16条第2項（雇用の継続・円滑な就職）／町における該当者の把握状況とあわせて確認中（確認事項No.95）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２　意思決定の支援及び権利利益の保護（法第17条）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（１）成年後見制度の利用促進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再掲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第4章第2節3(2)の再掲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（２）日常生活自立支援事業の活用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新規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法：認知症基本法第17条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（３）意思決定支援研修の実施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新規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法：認知症基本法第17条（意思決定支援に関する指針）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（４）消費者被害の防止の啓発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再掲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法：認知症基本法第17条／第2章第2節2(3)の再掲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３　調査研究の成果の活用（法第20条）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（１）国の研究成果の活用と普及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新規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法：認知症基本法第20条／体系（案）に対応する事業がなかった（確認事項No.112）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（２）意見聴取の結果の施策への反映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新規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法：認知症基本法第20条（社会参加の在り方等の調査研究と成果の活用）／第1節1(1)の意見聴取と一体で運用する</w:t>
            </w:r>
          </w:p>
        </w:tc>
      </w:tr>
    </w:tbl>
    <w:p>
      <w:pPr>
        <w:spacing w:after="80" w:before="180" w:line="30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2"/>
          <w:szCs w:val="22"/>
        </w:rPr>
        <w:t xml:space="preserve">　▌ 第６節 認知症の日・認知症月間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"/>
        <w:gridCol w:w="120"/>
        <w:gridCol w:w="24"/>
        <w:gridCol w:w="168"/>
      </w:tblGrid>
      <w:tr>
        <w:tc>
          <w:tcPr>
            <w:tcW w:type="dxa" w:w="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項</w:t>
            </w:r>
          </w:p>
        </w:tc>
        <w:tc>
          <w:tcPr>
            <w:tcW w:type="dxa" w:w="1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事業</w:t>
            </w:r>
          </w:p>
        </w:tc>
        <w:tc>
          <w:tcPr>
            <w:tcW w:type="dxa" w:w="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区分</w:t>
            </w:r>
          </w:p>
        </w:tc>
        <w:tc>
          <w:tcPr>
            <w:tcW w:type="dxa" w:w="16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根拠・備考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１　認知症の日・認知症月間（法第9条）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（１）認知症の日（9月21日）にふさわしい事業の実施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新規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法：認知症基本法第9条第2項／本町には現在これに当たる取組がない。認知症カフェ・サポーター養成講座を9月に集中させる等、既存の事業で対応できる余地がある（確認事項No.92）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（２）認知症月間（9月1日〜30日）の行事の奨励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新規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法：認知症基本法第9条第3項／素案Ver.1.18までは「世界アルツハイマー月間」としていたが、これは国際的な呼称であり法定の認知症の日・認知症月間とは別のもの</w:t>
            </w:r>
          </w:p>
        </w:tc>
      </w:tr>
    </w:tbl>
    <w:p>
      <w:pPr>
        <w:spacing w:after="100" w:before="200" w:line="32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5"/>
          <w:szCs w:val="25"/>
        </w:rPr>
        <w:t xml:space="preserve">第６章 介護給付・介護予防給付サービスの充実</w:t>
      </w:r>
    </w:p>
    <w:p>
      <w:pPr>
        <w:spacing w:after="80" w:before="180" w:line="30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2"/>
          <w:szCs w:val="22"/>
        </w:rPr>
        <w:t xml:space="preserve">　▌ 第１節 居宅サービス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"/>
        <w:gridCol w:w="120"/>
        <w:gridCol w:w="24"/>
        <w:gridCol w:w="168"/>
      </w:tblGrid>
      <w:tr>
        <w:tc>
          <w:tcPr>
            <w:tcW w:type="dxa" w:w="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項</w:t>
            </w:r>
          </w:p>
        </w:tc>
        <w:tc>
          <w:tcPr>
            <w:tcW w:type="dxa" w:w="1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事業</w:t>
            </w:r>
          </w:p>
        </w:tc>
        <w:tc>
          <w:tcPr>
            <w:tcW w:type="dxa" w:w="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区分</w:t>
            </w:r>
          </w:p>
        </w:tc>
        <w:tc>
          <w:tcPr>
            <w:tcW w:type="dxa" w:w="16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根拠・備考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１　介護・介護予防給付サービス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（１）訪問介護（ホームヘルプサービス）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委：町内で登録21名に対し実働4名／見込量の確保が課題。第2回策定委員会 選択3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（２）訪問入浴介護・介護予防訪問入浴介護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（３）訪問看護・介護予防訪問看護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委：入所施設からの在宅復帰希望者に対し訪問看護等の体制が不十分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（４）訪問リハビリテーション・介護予防訪問リハビリテーション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（５）居宅療養管理指導・介護予防居宅療養管理指導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（６）通所介護（デイサービス）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（７）通所リハビリテーション・介護予防通所リハビリテーション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（８）短期入所生活介護・介護予防短期入所生活介護（ショートステイ）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調：主な介護者の70歳以上42.1％（n=76）／家族介護者のレスパイト（第3章第1節3(3)）の受け皿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（９）短期入所療養介護（ショートステイ）・介護予防短期入所療養介護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（10）特定施設入居者生活介護、介護予防特定施設入居者生活介護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（11）福祉用具貸与・介護予防福祉用具貸与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（12）特定福祉用具購入費・特定介護予防福祉用具購入費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（13）住宅改修・介護予防住宅改修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（14）居宅介護支援・介護予防支援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80" w:before="180" w:line="30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2"/>
          <w:szCs w:val="22"/>
        </w:rPr>
        <w:t xml:space="preserve">　▌ 第２節 地域密着型サービス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"/>
        <w:gridCol w:w="120"/>
        <w:gridCol w:w="24"/>
        <w:gridCol w:w="168"/>
      </w:tblGrid>
      <w:tr>
        <w:tc>
          <w:tcPr>
            <w:tcW w:type="dxa" w:w="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項</w:t>
            </w:r>
          </w:p>
        </w:tc>
        <w:tc>
          <w:tcPr>
            <w:tcW w:type="dxa" w:w="1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事業</w:t>
            </w:r>
          </w:p>
        </w:tc>
        <w:tc>
          <w:tcPr>
            <w:tcW w:type="dxa" w:w="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区分</w:t>
            </w:r>
          </w:p>
        </w:tc>
        <w:tc>
          <w:tcPr>
            <w:tcW w:type="dxa" w:w="16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根拠・備考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１　地域密着型サービス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（１）定期巡回・随時対応型訪問介護看護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調：利用ありは2.0％（1件・n=49）／町内・近隣の指定事業所の有無が未確認【町確認】。存在しない場合、利用の低さは供給側の事実となる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（２）夜間対応型訪問介護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調：利用あり0件（n=37）／同上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（３）認知症対応型通所介護・介護予防認知症対応型通所介護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実：令和6年度に実績があり令和7年度に実績なし／第10期の見込量を0とするかを確認中（確認事項No.91）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（４）小規模多機能型居宅介護、介護予防小規模多機能型居宅介護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調：利用ありは4.1％（2件・n=49）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（５）認知症対応型共同生活介護・介護予防認知症対応型共同生活介護（グループホーム）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実：令和7年度25.92人／月（第9期計画値27.0人／月の96.0％）／必要利用定員総数を第9章9-1に定める。令和17年度29.5人／月・令和22年度31.3人／月と定員27人を上回る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（６）地域密着型特定施設入居者生活介護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実：事業所なし・実績0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（７）地域密着型介護老人福祉施設入居者生活介護（小規模特別養護老人ホーム）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実：令和7年度26.6人／月／必要利用定員総数を第9章9-1に定める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（８）看護小規模多機能型居宅介護（複合型サービス）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調：利用あり0件（n=48）／町内・近隣の指定事業所の有無が未確認【町確認】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（９）地域密着型通所介護（小規模デイ）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80" w:before="180" w:line="30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2"/>
          <w:szCs w:val="22"/>
        </w:rPr>
        <w:t xml:space="preserve">　▌ 第３節 施設サービス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"/>
        <w:gridCol w:w="120"/>
        <w:gridCol w:w="24"/>
        <w:gridCol w:w="168"/>
      </w:tblGrid>
      <w:tr>
        <w:tc>
          <w:tcPr>
            <w:tcW w:type="dxa" w:w="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項</w:t>
            </w:r>
          </w:p>
        </w:tc>
        <w:tc>
          <w:tcPr>
            <w:tcW w:type="dxa" w:w="1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事業</w:t>
            </w:r>
          </w:p>
        </w:tc>
        <w:tc>
          <w:tcPr>
            <w:tcW w:type="dxa" w:w="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区分</w:t>
            </w:r>
          </w:p>
        </w:tc>
        <w:tc>
          <w:tcPr>
            <w:tcW w:type="dxa" w:w="16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根拠・備考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１　施設サービス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（１）介護老人福祉施設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実：施設サービス利用者134人のうち77.6％が要介護3以上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（２）介護老人保健施設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実：施設サービス利用者134人のうち77.6％が要介護3以上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（３）介護医療院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実：施設サービス利用者134人のうち77.6％が要介護3以上</w:t>
            </w:r>
          </w:p>
        </w:tc>
      </w:tr>
    </w:tbl>
    <w:p>
      <w:pPr>
        <w:spacing w:after="100" w:before="200" w:line="32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5"/>
          <w:szCs w:val="25"/>
        </w:rPr>
        <w:t xml:space="preserve">第７章 地域マネジメントに関する事項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"/>
        <w:gridCol w:w="120"/>
        <w:gridCol w:w="24"/>
        <w:gridCol w:w="168"/>
      </w:tblGrid>
      <w:tr>
        <w:tc>
          <w:tcPr>
            <w:tcW w:type="dxa" w:w="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項</w:t>
            </w:r>
          </w:p>
        </w:tc>
        <w:tc>
          <w:tcPr>
            <w:tcW w:type="dxa" w:w="1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事業</w:t>
            </w:r>
          </w:p>
        </w:tc>
        <w:tc>
          <w:tcPr>
            <w:tcW w:type="dxa" w:w="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区分</w:t>
            </w:r>
          </w:p>
        </w:tc>
        <w:tc>
          <w:tcPr>
            <w:tcW w:type="dxa" w:w="16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根拠・備考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１　介護サービスの質の向上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（１）研修・指導・苦情対応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２　介護費用適正化の推進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（１）介護給付の適正化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第4章第2節3(1)と一体で運用する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３　助言・指導の充実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（１）事業所への助言・指導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４　情報提供・相談体制の充実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（１）情報提供・相談体制の充実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５　福祉・介護人材の確保・定着支援【重点】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（１）介護人材の確保・育成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拡充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交：推進 目標Ⅲ「確保・定着の取組状況」30点満点・「庁内庁外の連携体制」34点満点でいずれも県内1位である一方、「介護の仕事の魅力に関する研修」0／12点・「定着・資質向上に関する研修」0／12点。委：1ユニット分の人員削減、職員80名→50名の見込み、人材紹介に1件約100万円の紹介料／第2回策定委員会 選択4。町単独事業は地域支援事業の対象外であり第1号保険料では賄えない。体制は県内1位だが研修の実施が2項目とも0点であり、研修の実施が最も手当てしやすい失点である（計24点）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６　介護現場の生産性向上（介護ロボット・ＩＣＴの導入支援）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（１）介護ロボット・ＩＣＴの導入支援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７　自立支援・重度化防止に向けた目標と指標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（１）目標と指標の設定・管理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拡充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交：第9期のアウトカム指標は調整済み認定率を令和5年の水準（17.6％）に維持すること／各指標に指標名・区分・現状値・目標値・集計担当・集計方法及び頻度・未把握の場合の対応を必ず付す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８　計画値と実績値の乖離のモニタリングと公表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（１）乖離の把握と公表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新規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交：令和8年度の保険者機能強化推進交付金で「評価結果の活用」が令和7年度の満点16点から0点。県内35保険者中34位／体系（案）にない施策。7に含めるか8として立てるかを確認中（確認事項No.108）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９　町外施設利用・住所地特例への対応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（１）住所地特例該当者の把握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新規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実：住所地特例該当者24人（令和7年6月時点）／体系（案）にない施策。町外施設（柴田町・大河原町・仙台市等）への依存が常態化しており、所在自治体内訳の把握を見込量算定と広域連携の根拠とする</w:t>
            </w:r>
          </w:p>
        </w:tc>
      </w:tr>
    </w:tbl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6"/>
        <w:szCs w:val="16"/>
      </w:rPr>
      <w:t xml:space="preserve">─ </w:t>
    </w:r>
    <w:r>
      <w:rPr>
        <w:rFonts w:ascii="游ゴシック" w:cs="游ゴシック" w:eastAsia="游ゴシック" w:hAnsi="游ゴシック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游ゴシック" w:cs="游ゴシック" w:eastAsia="游ゴシック" w:hAnsi="游ゴシック"/>
        <w:color w:val="595959"/>
        <w:sz w:val="16"/>
        <w:szCs w:val="16"/>
      </w:rPr>
      <w:t xml:space="preserve"> ─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游ゴシック" w:cs="游ゴシック" w:eastAsia="游ゴシック" w:hAnsi="游ゴシック"/>
        <w:color w:val="595959"/>
        <w:sz w:val="16"/>
        <w:szCs w:val="16"/>
      </w:rPr>
      <w:t xml:space="preserve">川崎町高齢者保健福祉計画・第10期介護保険事業計画　施策・事業の体系（Ｃ案）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ゴシック" w:cs="游ゴシック" w:eastAsia="游ゴシック" w:hAnsi="游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70418a61617a21e2d472e47e172e71f16ae9a3c.png"/><Relationship Id="rId10" Type="http://schemas.openxmlformats.org/officeDocument/2006/relationships/image" Target="media/3d908537ad6af085f924a88cd75159a469dfe3ae.png"/><Relationship Id="rId11" Type="http://schemas.openxmlformats.org/officeDocument/2006/relationships/image" Target="media/734ec60ebb12cf6936fb50f9ddeb2807bb5834b7.png"/><Relationship Id="rId12" Type="http://schemas.openxmlformats.org/officeDocument/2006/relationships/image" Target="media/5a962bfacd77afd36ebbbec2150668990cd47f90.png"/><Relationship Id="rId13" Type="http://schemas.openxmlformats.org/officeDocument/2006/relationships/image" Target="media/4f6b614b6ec81cf85ded5f1273a7644440d52e3e.png"/><Relationship Id="rId14" Type="http://schemas.openxmlformats.org/officeDocument/2006/relationships/image" Target="media/60135321dc38607023c12bbad6e739ab163ab04a.png"/><Relationship Id="rId15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川崎町第10期介護保険事業計画 計画書素案v1.0</dc:title>
  <dc:creator>ビズアップ公共コンサルティング株式会社</dc:creator>
  <dc:description>川崎町高齢者保健福祉計画・第10期介護保険事業計画 計画書素案</dc:description>
  <cp:lastModifiedBy>Un-named</cp:lastModifiedBy>
  <cp:revision>1</cp:revision>
  <dcterms:created xsi:type="dcterms:W3CDTF">2026-06-29T06:49:34.837Z</dcterms:created>
  <dcterms:modified xsi:type="dcterms:W3CDTF">2026-06-29T06:49:34.837Z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