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65歳到達時の判定の流れ</w:t>
      </w:r>
    </w:p>
    <w:p>
      <w:r>
        <w:rPr>
          <w:b w:val="0"/>
          <w:sz w:val="18"/>
        </w:rPr>
        <w:t>図５-４　関係機関との連携</w:t>
      </w:r>
    </w:p>
    <w:p>
      <w:r>
        <w:rPr>
          <w:b w:val="0"/>
          <w:sz w:val="18"/>
        </w:rPr>
        <w:t>図５-５　障がい福祉サービス等に係る給付費の推移</w:t>
      </w:r>
    </w:p>
    <w:p>
      <w:r>
        <w:rPr>
          <w:b w:val="0"/>
          <w:sz w:val="18"/>
        </w:rPr>
        <w:t>図５-６　サービス別の給付費（令和７年度）</w:t>
      </w:r>
    </w:p>
    <w:p>
      <w:r>
        <w:rPr>
          <w:b w:val="0"/>
          <w:sz w:val="18"/>
        </w:rPr>
        <w:t>図６-１　高齢化率の推移</w:t>
      </w:r>
    </w:p>
    <w:p>
      <w:r>
        <w:rPr>
          <w:b w:val="0"/>
          <w:sz w:val="18"/>
        </w:rPr>
        <w:t>図７-１　他の計画との関係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訪問系サービスの実績</w:t>
      </w:r>
    </w:p>
    <w:p>
      <w:r>
        <w:rPr>
          <w:b w:val="0"/>
          <w:sz w:val="18"/>
        </w:rPr>
        <w:t>表５-３　訪問系サービスの見込量</w:t>
      </w:r>
    </w:p>
    <w:p>
      <w:r>
        <w:rPr>
          <w:b w:val="0"/>
          <w:sz w:val="18"/>
        </w:rPr>
        <w:t>表５-４　日中活動系サービスの実績</w:t>
      </w:r>
    </w:p>
    <w:p>
      <w:r>
        <w:rPr>
          <w:b w:val="0"/>
          <w:sz w:val="18"/>
        </w:rPr>
        <w:t>表５-５　日中活動系サービスの見込量</w:t>
      </w:r>
    </w:p>
    <w:p>
      <w:r>
        <w:rPr>
          <w:b w:val="0"/>
          <w:sz w:val="18"/>
        </w:rPr>
        <w:t>表５-６　強度行動障害を有する方等の生活介護の利用の見込み</w:t>
      </w:r>
    </w:p>
    <w:p>
      <w:r>
        <w:rPr>
          <w:b w:val="0"/>
          <w:sz w:val="18"/>
        </w:rPr>
        <w:t>表５-７　居住系サービスの実績</w:t>
      </w:r>
    </w:p>
    <w:p>
      <w:r>
        <w:rPr>
          <w:b w:val="0"/>
          <w:sz w:val="18"/>
        </w:rPr>
        <w:t>表５-８　居住系サービスの見込量</w:t>
      </w:r>
    </w:p>
    <w:p>
      <w:r>
        <w:rPr>
          <w:b w:val="0"/>
          <w:sz w:val="18"/>
        </w:rPr>
        <w:t>表５-９　相談支援の実績</w:t>
      </w:r>
    </w:p>
    <w:p>
      <w:r>
        <w:rPr>
          <w:b w:val="0"/>
          <w:sz w:val="18"/>
        </w:rPr>
        <w:t>表５-10　相談支援の見込量</w:t>
      </w:r>
    </w:p>
    <w:p>
      <w:r>
        <w:rPr>
          <w:b w:val="0"/>
          <w:sz w:val="18"/>
        </w:rPr>
        <w:t>表５-11　障がい児支援の実績</w:t>
      </w:r>
    </w:p>
    <w:p>
      <w:r>
        <w:rPr>
          <w:b w:val="0"/>
          <w:sz w:val="18"/>
        </w:rPr>
        <w:t>表５-12　障がい児支援の見込量</w:t>
      </w:r>
    </w:p>
    <w:p>
      <w:r>
        <w:rPr>
          <w:b w:val="0"/>
          <w:sz w:val="18"/>
        </w:rPr>
        <w:t>表５-13　一般の子育て施策と障がい福祉の切り分け</w:t>
      </w:r>
    </w:p>
    <w:p>
      <w:r>
        <w:rPr>
          <w:b w:val="0"/>
          <w:sz w:val="18"/>
        </w:rPr>
        <w:t>表５-14　事業所の受入余力について照会する事項</w:t>
      </w:r>
    </w:p>
    <w:p>
      <w:r>
        <w:rPr>
          <w:b w:val="0"/>
          <w:sz w:val="18"/>
        </w:rPr>
        <w:t>表５-15　緊急時に働く仕組み（４つの場面）</w:t>
      </w:r>
    </w:p>
    <w:p>
      <w:r>
        <w:rPr>
          <w:b w:val="0"/>
          <w:sz w:val="18"/>
        </w:rPr>
        <w:t>表５-16　災害時にサービスを止めないための備え</w:t>
      </w:r>
    </w:p>
    <w:p>
      <w:r>
        <w:rPr>
          <w:b w:val="0"/>
          <w:sz w:val="18"/>
        </w:rPr>
        <w:t>表５-17　災害時の情報の伝達について確かめること</w:t>
      </w:r>
    </w:p>
    <w:p>
      <w:r>
        <w:rPr>
          <w:b w:val="0"/>
          <w:sz w:val="18"/>
        </w:rPr>
        <w:t>表５-18　虐待の予防から再発の防止までの流れ</w:t>
      </w:r>
    </w:p>
    <w:p>
      <w:r>
        <w:rPr>
          <w:b w:val="0"/>
          <w:sz w:val="18"/>
        </w:rPr>
        <w:t>表５-19　経営基盤に関して把握する事項</w:t>
      </w:r>
    </w:p>
    <w:p>
      <w:r>
        <w:rPr>
          <w:b w:val="0"/>
          <w:sz w:val="18"/>
        </w:rPr>
        <w:t>表５-20　冬季の支援を検討する三つの段階</w:t>
      </w:r>
    </w:p>
    <w:p>
      <w:r>
        <w:rPr>
          <w:b w:val="0"/>
          <w:sz w:val="18"/>
        </w:rPr>
        <w:t>表５-21　冬季の通行規制による中断について記録する事項</w:t>
      </w:r>
    </w:p>
    <w:p>
      <w:r>
        <w:rPr>
          <w:b w:val="0"/>
          <w:sz w:val="18"/>
        </w:rPr>
        <w:t>表５-22　医療へのアクセス</w:t>
      </w:r>
    </w:p>
    <w:p>
      <w:r>
        <w:rPr>
          <w:b w:val="0"/>
          <w:sz w:val="18"/>
        </w:rPr>
        <w:t>表５-23　地域生活支援事業の実績</w:t>
      </w:r>
    </w:p>
    <w:p>
      <w:r>
        <w:rPr>
          <w:b w:val="0"/>
          <w:sz w:val="18"/>
        </w:rPr>
        <w:t>表５-24　地域生活支援事業の見込量</w:t>
      </w:r>
    </w:p>
    <w:p>
      <w:r>
        <w:rPr>
          <w:b w:val="0"/>
          <w:sz w:val="18"/>
        </w:rPr>
        <w:t>表５-25　実績がない事業の扱い</w:t>
      </w:r>
    </w:p>
    <w:p>
      <w:r>
        <w:rPr>
          <w:b w:val="0"/>
          <w:sz w:val="18"/>
        </w:rPr>
        <w:t>表５-26　地域生活支援事業の実施に必要な事項</w:t>
      </w:r>
    </w:p>
    <w:p>
      <w:r>
        <w:rPr>
          <w:b w:val="0"/>
          <w:sz w:val="18"/>
        </w:rPr>
        <w:t>表５-27　本人に代わって伝えるための道具の使い分け</w:t>
      </w:r>
    </w:p>
    <w:p>
      <w:r>
        <w:rPr>
          <w:b w:val="0"/>
          <w:sz w:val="18"/>
        </w:rPr>
        <w:t>表５-28　年齢到達に伴うサービスの移行</w:t>
      </w:r>
    </w:p>
    <w:p>
      <w:r>
        <w:rPr>
          <w:b w:val="0"/>
          <w:sz w:val="18"/>
        </w:rPr>
        <w:t>表５-29　学校卒業に伴う移行について確認する事項</w:t>
      </w:r>
    </w:p>
    <w:p>
      <w:r>
        <w:rPr>
          <w:b w:val="0"/>
          <w:sz w:val="18"/>
        </w:rPr>
        <w:t>表５-30　65歳到達時のサービスの区分</w:t>
      </w:r>
    </w:p>
    <w:p>
      <w:r>
        <w:rPr>
          <w:b w:val="0"/>
          <w:sz w:val="18"/>
        </w:rPr>
        <w:t>表５-31　65歳到達時に確認する事項</w:t>
      </w:r>
    </w:p>
    <w:p>
      <w:r>
        <w:rPr>
          <w:b w:val="0"/>
          <w:sz w:val="18"/>
        </w:rPr>
        <w:t>表５-32　65歳到達時の引継ぎの時期と担当</w:t>
      </w:r>
    </w:p>
    <w:p>
      <w:r>
        <w:rPr>
          <w:b w:val="0"/>
          <w:sz w:val="18"/>
        </w:rPr>
        <w:t>表５-33　関係機関と連携の内容</w:t>
      </w:r>
    </w:p>
    <w:p>
      <w:r>
        <w:rPr>
          <w:b w:val="0"/>
          <w:sz w:val="18"/>
        </w:rPr>
        <w:t>表５-34　障がい福祉サービス等に係る給付費の推移</w:t>
      </w:r>
    </w:p>
    <w:p>
      <w:r>
        <w:rPr>
          <w:b w:val="0"/>
          <w:sz w:val="18"/>
        </w:rPr>
        <w:t>表５-35　財源構成（令和７年度・法定負担割合による試算）</w:t>
      </w:r>
    </w:p>
    <w:p>
      <w:r>
        <w:rPr>
          <w:b w:val="0"/>
          <w:sz w:val="18"/>
        </w:rPr>
        <w:t>表５-36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表５-２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表５-３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表５-４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表５-５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表５-６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表５-７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表５-８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表５-９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表５-10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表５-11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表５-12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表５-13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表５-14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表５-15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表５-16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表５-17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表５-18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表５-19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表５-20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表５-21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表５-22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表５-23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表５-24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表５-25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表５-26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表５-27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表５-28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表５-29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表５-30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59" name="Picture 1992988459"/>
            <wp:cNvGraphicFramePr>
              <a:graphicFrameLocks noChangeAspect="1"/>
            </wp:cNvGraphicFramePr>
            <a:graphic>
              <a:graphicData uri="http://schemas.openxmlformats.org/drawingml/2006/picture">
                <pic:pic>
                  <pic:nvPicPr>
                    <pic:cNvPr id="0" name="08_65歳到達時の判定の流れ.png"/>
                    <pic:cNvPicPr/>
                  </pic:nvPicPr>
                  <pic:blipFill>
                    <a:blip r:embed="rId35"/>
                    <a:stretch>
                      <a:fillRect/>
                    </a:stretch>
                  </pic:blipFill>
                  <pic:spPr>
                    <a:xfrm>
                      <a:off x="0" y="0"/>
                      <a:ext cx="5975604" cy="5577840"/>
                    </a:xfrm>
                    <a:prstGeom prst="rect"/>
                  </pic:spPr>
                </pic:pic>
              </a:graphicData>
            </a:graphic>
          </wp:inline>
        </w:drawing>
      </w:r>
    </w:p>
    <w:p>
      <w:pPr>
        <w:spacing w:after="0"/>
        <w:jc w:val="center"/>
      </w:pPr>
      <w:r>
        <w:rPr>
          <w:sz w:val="19"/>
        </w:rPr>
        <w:t>図５-３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表５-31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表５-32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表５-33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41648"/>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41648"/>
                    </a:xfrm>
                    <a:prstGeom prst="rect"/>
                  </pic:spPr>
                </pic:pic>
              </a:graphicData>
            </a:graphic>
          </wp:inline>
        </w:drawing>
      </w:r>
    </w:p>
    <w:p>
      <w:pPr>
        <w:spacing w:after="0"/>
        <w:jc w:val="center"/>
      </w:pPr>
      <w:r>
        <w:rPr>
          <w:sz w:val="19"/>
        </w:rPr>
        <w:t>図５-４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表５-34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図５-５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表５-35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表５-36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図５-６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