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　総論　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　総論　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val="0"/>
                <w:i w:val="0"/>
                <w:sz w:val="17"/>
              </w:rPr>
              <w:t>障害者総合支援法第88条第5項・児童福祉法第33条の20第5項</w:t>
            </w:r>
          </w:p>
        </w:tc>
        <w:tc>
          <w:tcPr>
            <w:tcW w:type="dxa" w:w="3969"/>
            <w:vAlign w:val="center"/>
          </w:tcPr>
          <w:p>
            <w:pPr>
              <w:spacing w:before="20" w:after="20"/>
            </w:pPr>
            <w:r>
              <w:rPr>
                <w:rFonts w:ascii="游ゴシック" w:hAnsi="游ゴシック" w:eastAsia="游ゴシック"/>
                <w:b/>
                <w:i w:val="0"/>
                <w:sz w:val="17"/>
              </w:rPr>
              <w:t>障害者基本計画（市町村障害者計画）と調和が保たれたもの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　総論　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　総論　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障害者総合支援法第88条第5項及び児童福祉法第33条の20第5項は、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条項の番号は、現行条文の全文で確かめたうえで本文に入れます</w:t>
      </w:r>
      <w:r>
        <w:rPr>
          <w:rFonts w:ascii="游ゴシック" w:hAnsi="游ゴシック" w:eastAsia="游ゴシック"/>
          <w:b w:val="0"/>
          <w:i w:val="0"/>
          <w:sz w:val="17"/>
        </w:rPr>
        <w:t>（改正により項の繰り下がりが生じないことは確認済み）。</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　総論　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　総論　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　総論　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　総論　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　総論　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　総論　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val="0"/>
          <w:i w:val="0"/>
          <w:sz w:val="21"/>
        </w:rPr>
        <w:t>サービス種類別の見込量と実績の乖離及びその要因は【町データ待ち】です。</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val="0"/>
          <w:i w:val="0"/>
          <w:sz w:val="21"/>
        </w:rPr>
        <w:t>第2部の各分野の取組状況と課題を整理します。取組の実績は【町データ待ち】です。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【表11】第1部　総論　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【表12】第2部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【表13】第2部　おのまち障がい者計画　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（改正後の住宅セーフティネット法第81条第1項）の設置状況を確かめ、連携先として位置づけます（【町データ待ち】）。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【表14】第2部　おのまち障がい者計画　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【表15】第2部　おのまち障がい者計画　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【表16】第2部　おのまち障がい者計画　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【表17】第2部　おのまち障がい者計画　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【表18】第2部　おのまち障がい者計画　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【表19】第2部　おのまち障がい者計画　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【表20】第2部　おのまち障がい者計画　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【表21】第2部　おのまち障がい者計画　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【表22】第3部　第8期障がい福祉計画・第4期障がい児福祉計画　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val="0"/>
                <w:i w:val="0"/>
                <w:sz w:val="17"/>
              </w:rPr>
              <w:t>令和4年度末26人を基準に設定</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【表23】第3部　第8期障がい福祉計画・第4期障がい児福祉計画　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【表24】第3部　第8期障がい福祉計画・第4期障がい児福祉計画　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【表25】第4部　計画の推進　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