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法定記載事項チェック（条文単位・現物照合）</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判定の決まり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高齢者計画（介護保険法・老人福祉法・認知症基本法）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障がい計画（障害者総合支援法・児童福祉法・障害者基本法）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手当てが要るもの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4-1　老人福祉事業の量の目標（老人福祉法第20条の8第2項・義務）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4-2　そのほか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両計画が、根拠法令が求める記載事項を満たしているかを、条・項・号ごとに確かめたものです。</w:t>
      </w:r>
    </w:p>
    <w:p>
      <w:pPr>
        <w:spacing w:before="60" w:after="60"/>
      </w:pPr>
      <w:r>
        <w:rPr>
          <w:rFonts w:ascii="游ゴシック" w:hAnsi="游ゴシック" w:eastAsia="游ゴシック"/>
          <w:b/>
          <w:i w:val="0"/>
          <w:sz w:val="21"/>
        </w:rPr>
        <w:t>出来上がった docx を開いて語を数え、自動で判定しています。</w:t>
      </w:r>
      <w:r>
        <w:rPr>
          <w:rFonts w:ascii="游ゴシック" w:hAnsi="游ゴシック" w:eastAsia="游ゴシック"/>
          <w:b w:val="0"/>
          <w:i w:val="0"/>
          <w:sz w:val="21"/>
        </w:rPr>
        <w:t>生成器のソースではなく現物を見ています。判定に用いた語は表に示していますので、</w:t>
      </w:r>
      <w:r>
        <w:rPr>
          <w:rFonts w:ascii="游ゴシック" w:hAnsi="游ゴシック" w:eastAsia="游ゴシック"/>
          <w:b/>
          <w:i w:val="0"/>
          <w:sz w:val="21"/>
        </w:rPr>
        <w:t>検算できます。</w:t>
      </w:r>
    </w:p>
    <w:p>
      <w:pPr>
        <w:keepNext/>
        <w:spacing w:before="200" w:after="40"/>
      </w:pPr>
      <w:r>
        <w:rPr>
          <w:rFonts w:ascii="游ゴシック" w:hAnsi="游ゴシック" w:eastAsia="游ゴシック"/>
          <w:b/>
          <w:i w:val="0"/>
          <w:color w:val="1F4D78"/>
          <w:sz w:val="22"/>
        </w:rPr>
        <w:t>【表1】点検した現物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ファイル</w:t>
            </w:r>
          </w:p>
        </w:tc>
      </w:tr>
      <w:tr>
        <w:tc>
          <w:tcPr>
            <w:tcW w:type="dxa" w:w="1928"/>
            <w:vAlign w:val="center"/>
          </w:tcPr>
          <w:p>
            <w:pPr>
              <w:keepNext/>
              <w:spacing w:before="20" w:after="20"/>
            </w:pPr>
            <w:r>
              <w:rPr>
                <w:rFonts w:ascii="游ゴシック" w:hAnsi="游ゴシック" w:eastAsia="游ゴシック"/>
                <w:b w:val="0"/>
                <w:i w:val="0"/>
                <w:sz w:val="17"/>
              </w:rPr>
              <w:t>高齢者計画</w:t>
            </w:r>
          </w:p>
        </w:tc>
        <w:tc>
          <w:tcPr>
            <w:tcW w:type="dxa" w:w="7824"/>
            <w:vAlign w:val="center"/>
          </w:tcPr>
          <w:p>
            <w:pPr>
              <w:keepNext/>
              <w:spacing w:before="20" w:after="20"/>
            </w:pPr>
            <w:r>
              <w:rPr>
                <w:rFonts w:ascii="游ゴシック" w:hAnsi="游ゴシック" w:eastAsia="游ゴシック"/>
                <w:b w:val="0"/>
                <w:i w:val="0"/>
                <w:sz w:val="17"/>
              </w:rPr>
              <w:t>小野町高齢者保健福祉計画_第10期介護保険事業計画_素案_第15版_20261021.docx</w:t>
            </w:r>
          </w:p>
        </w:tc>
      </w:tr>
      <w:tr>
        <w:tc>
          <w:tcPr>
            <w:tcW w:type="dxa" w:w="1928"/>
            <w:vAlign w:val="center"/>
          </w:tcPr>
          <w:p>
            <w:pPr>
              <w:spacing w:before="20" w:after="20"/>
            </w:pPr>
            <w:r>
              <w:rPr>
                <w:rFonts w:ascii="游ゴシック" w:hAnsi="游ゴシック" w:eastAsia="游ゴシック"/>
                <w:b w:val="0"/>
                <w:i w:val="0"/>
                <w:sz w:val="17"/>
              </w:rPr>
              <w:t>障がい計画</w:t>
            </w:r>
          </w:p>
        </w:tc>
        <w:tc>
          <w:tcPr>
            <w:tcW w:type="dxa" w:w="7824"/>
            <w:vAlign w:val="center"/>
          </w:tcPr>
          <w:p>
            <w:pPr>
              <w:spacing w:before="20" w:after="20"/>
            </w:pPr>
            <w:r>
              <w:rPr>
                <w:rFonts w:ascii="游ゴシック" w:hAnsi="游ゴシック" w:eastAsia="游ゴシック"/>
                <w:b w:val="0"/>
                <w:i w:val="0"/>
                <w:sz w:val="17"/>
              </w:rPr>
              <w:t>おのまち障がい者計画_第4期障がい児福祉計画_第8期障がい福祉計画_素案_第4版_20261021.docx</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判定の決まり</w:t>
      </w:r>
      <w:bookmarkEnd w:id="102"/>
    </w:p>
    <w:p>
      <w:pPr>
        <w:keepNext/>
        <w:spacing w:before="200" w:after="40"/>
      </w:pPr>
      <w:r>
        <w:rPr>
          <w:rFonts w:ascii="游ゴシック" w:hAnsi="游ゴシック" w:eastAsia="游ゴシック"/>
          <w:b/>
          <w:i w:val="0"/>
          <w:color w:val="1F4D78"/>
          <w:sz w:val="22"/>
        </w:rPr>
        <w:t>【表2】判定の決まり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8617"/>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記号</w:t>
            </w:r>
          </w:p>
        </w:tc>
        <w:tc>
          <w:tcPr>
            <w:tcW w:type="dxa" w:w="8617"/>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134"/>
            <w:vAlign w:val="center"/>
          </w:tcPr>
          <w:p>
            <w:pPr>
              <w:spacing w:before="20" w:after="20"/>
            </w:pPr>
            <w:r>
              <w:rPr>
                <w:rFonts w:ascii="游ゴシック" w:hAnsi="游ゴシック" w:eastAsia="游ゴシック"/>
                <w:b w:val="0"/>
                <w:i w:val="0"/>
                <w:sz w:val="17"/>
              </w:rPr>
              <w:t>○</w:t>
            </w:r>
          </w:p>
        </w:tc>
        <w:tc>
          <w:tcPr>
            <w:tcW w:type="dxa" w:w="8617"/>
            <w:vAlign w:val="center"/>
          </w:tcPr>
          <w:p>
            <w:pPr>
              <w:spacing w:before="20" w:after="20"/>
            </w:pPr>
            <w:r>
              <w:rPr>
                <w:rFonts w:ascii="游ゴシック" w:hAnsi="游ゴシック" w:eastAsia="游ゴシック"/>
                <w:b w:val="0"/>
                <w:i w:val="0"/>
                <w:sz w:val="17"/>
              </w:rPr>
              <w:t>判定に用いた語が</w:t>
            </w:r>
            <w:r>
              <w:rPr>
                <w:rFonts w:ascii="游ゴシック" w:hAnsi="游ゴシック" w:eastAsia="游ゴシック"/>
                <w:b/>
                <w:i w:val="0"/>
                <w:sz w:val="17"/>
              </w:rPr>
              <w:t>すべて</w:t>
            </w:r>
            <w:r>
              <w:rPr>
                <w:rFonts w:ascii="游ゴシック" w:hAnsi="游ゴシック" w:eastAsia="游ゴシック"/>
                <w:b w:val="0"/>
                <w:i w:val="0"/>
                <w:sz w:val="17"/>
              </w:rPr>
              <w:t>本文にある</w:t>
            </w:r>
          </w:p>
        </w:tc>
      </w:tr>
      <w:tr>
        <w:tc>
          <w:tcPr>
            <w:tcW w:type="dxa" w:w="1134"/>
            <w:vAlign w:val="center"/>
          </w:tcPr>
          <w:p>
            <w:pPr>
              <w:keepNext/>
              <w:spacing w:before="20" w:after="20"/>
            </w:pPr>
            <w:r>
              <w:rPr>
                <w:rFonts w:ascii="游ゴシック" w:hAnsi="游ゴシック" w:eastAsia="游ゴシック"/>
                <w:b w:val="0"/>
                <w:i w:val="0"/>
                <w:sz w:val="17"/>
              </w:rPr>
              <w:t>△</w:t>
            </w:r>
          </w:p>
        </w:tc>
        <w:tc>
          <w:tcPr>
            <w:tcW w:type="dxa" w:w="8617"/>
            <w:vAlign w:val="center"/>
          </w:tcPr>
          <w:p>
            <w:pPr>
              <w:keepNext/>
              <w:spacing w:before="20" w:after="20"/>
            </w:pPr>
            <w:r>
              <w:rPr>
                <w:rFonts w:ascii="游ゴシック" w:hAnsi="游ゴシック" w:eastAsia="游ゴシック"/>
                <w:b/>
                <w:i w:val="0"/>
                <w:sz w:val="17"/>
              </w:rPr>
              <w:t>一部</w:t>
            </w:r>
            <w:r>
              <w:rPr>
                <w:rFonts w:ascii="游ゴシック" w:hAnsi="游ゴシック" w:eastAsia="游ゴシック"/>
                <w:b w:val="0"/>
                <w:i w:val="0"/>
                <w:sz w:val="17"/>
              </w:rPr>
              <w:t>がある。節はあるが語が足りない可能性がある</w:t>
            </w:r>
          </w:p>
        </w:tc>
      </w:tr>
      <w:tr>
        <w:tc>
          <w:tcPr>
            <w:tcW w:type="dxa" w:w="1134"/>
            <w:vAlign w:val="center"/>
          </w:tcPr>
          <w:p>
            <w:pPr>
              <w:spacing w:before="20" w:after="20"/>
            </w:pPr>
            <w:r>
              <w:rPr>
                <w:rFonts w:ascii="游ゴシック" w:hAnsi="游ゴシック" w:eastAsia="游ゴシック"/>
                <w:b/>
                <w:i w:val="0"/>
                <w:sz w:val="17"/>
              </w:rPr>
              <w:t>✕</w:t>
            </w:r>
          </w:p>
        </w:tc>
        <w:tc>
          <w:tcPr>
            <w:tcW w:type="dxa" w:w="8617"/>
            <w:vAlign w:val="center"/>
          </w:tcPr>
          <w:p>
            <w:pPr>
              <w:spacing w:before="20" w:after="20"/>
            </w:pPr>
            <w:r>
              <w:rPr>
                <w:rFonts w:ascii="游ゴシック" w:hAnsi="游ゴシック" w:eastAsia="游ゴシック"/>
                <w:b/>
                <w:i w:val="0"/>
                <w:sz w:val="17"/>
              </w:rPr>
              <w:t>どれもない。</w:t>
            </w:r>
            <w:r>
              <w:rPr>
                <w:rFonts w:ascii="游ゴシック" w:hAnsi="游ゴシック" w:eastAsia="游ゴシック"/>
                <w:b w:val="0"/>
                <w:i w:val="0"/>
                <w:sz w:val="17"/>
              </w:rPr>
              <w:t xml:space="preserve"> 記載が欠けている疑いが強い</w:t>
            </w:r>
          </w:p>
        </w:tc>
      </w:tr>
    </w:tbl>
    <w:p>
      <w:pPr>
        <w:spacing w:after="40"/>
      </w:pPr>
    </w:p>
    <w:p>
      <w:pPr>
        <w:spacing w:before="60" w:after="60"/>
      </w:pPr>
      <w:r>
        <w:rPr>
          <w:rFonts w:ascii="游ゴシック" w:hAnsi="游ゴシック" w:eastAsia="游ゴシック"/>
          <w:b/>
          <w:i w:val="0"/>
          <w:sz w:val="21"/>
        </w:rPr>
        <w:t>語の有無は記載の有無そのものではありません。</w:t>
      </w:r>
      <w:r>
        <w:rPr>
          <w:rFonts w:ascii="游ゴシック" w:hAnsi="游ゴシック" w:eastAsia="游ゴシック"/>
          <w:b w:val="0"/>
          <w:i w:val="0"/>
          <w:sz w:val="21"/>
        </w:rPr>
        <w:t xml:space="preserve"> △・✕は「</w:t>
      </w:r>
      <w:r>
        <w:rPr>
          <w:rFonts w:ascii="游ゴシック" w:hAnsi="游ゴシック" w:eastAsia="游ゴシック"/>
          <w:b/>
          <w:i w:val="0"/>
          <w:sz w:val="21"/>
        </w:rPr>
        <w:t>本文を見て確かめる</w:t>
      </w:r>
      <w:r>
        <w:rPr>
          <w:rFonts w:ascii="游ゴシック" w:hAnsi="游ゴシック" w:eastAsia="游ゴシック"/>
          <w:b w:val="0"/>
          <w:i w:val="0"/>
          <w:sz w:val="21"/>
        </w:rPr>
        <w:t>」の合図であり、○は「</w:t>
      </w:r>
      <w:r>
        <w:rPr>
          <w:rFonts w:ascii="游ゴシック" w:hAnsi="游ゴシック" w:eastAsia="游ゴシック"/>
          <w:b/>
          <w:i w:val="0"/>
          <w:sz w:val="21"/>
        </w:rPr>
        <w:t>少なくとも語はある</w:t>
      </w:r>
      <w:r>
        <w:rPr>
          <w:rFonts w:ascii="游ゴシック" w:hAnsi="游ゴシック" w:eastAsia="游ゴシック"/>
          <w:b w:val="0"/>
          <w:i w:val="0"/>
          <w:sz w:val="21"/>
        </w:rPr>
        <w:t>」という意味です。本書は目視の代わりではなく、目視すべき箇所を絞るためのものです。</w:t>
      </w:r>
    </w:p>
    <w:p>
      <w:pPr>
        <w:spacing w:before="60" w:after="60"/>
      </w:pPr>
      <w:r>
        <w:rPr>
          <w:rFonts w:ascii="游ゴシック" w:hAnsi="游ゴシック" w:eastAsia="游ゴシック"/>
          <w:b/>
          <w:i w:val="0"/>
          <w:sz w:val="21"/>
        </w:rPr>
        <w:t>改正後の条文で見ています。</w:t>
      </w:r>
      <w:r>
        <w:rPr>
          <w:rFonts w:ascii="游ゴシック" w:hAnsi="游ゴシック" w:eastAsia="游ゴシック"/>
          <w:b w:val="0"/>
          <w:i w:val="0"/>
          <w:sz w:val="21"/>
        </w:rPr>
        <w:t xml:space="preserve"> 令和8年法律第51号の施行日は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に当たります。条文は新旧対照条文（厚生労働省・全353頁）により確認しました。</w:t>
      </w:r>
    </w:p>
    <w:p>
      <w:pPr>
        <w:pStyle w:val="Heading1"/>
        <w:keepNext/>
        <w:spacing w:before="240" w:after="100"/>
      </w:pPr>
      <w:bookmarkStart w:id="103" w:name="_Toc_003"/>
      <w:r>
        <w:rPr>
          <w:rFonts w:ascii="游ゴシック" w:hAnsi="游ゴシック" w:eastAsia="游ゴシック"/>
          <w:b/>
          <w:i w:val="0"/>
          <w:color w:val="2E74B5"/>
          <w:sz w:val="30"/>
        </w:rPr>
        <w:t>2　高齢者計画（介護保険法・老人福祉法・認知症基本法）</w:t>
      </w:r>
      <w:bookmarkEnd w:id="103"/>
    </w:p>
    <w:p>
      <w:pPr>
        <w:keepNext/>
        <w:spacing w:before="200" w:after="40"/>
      </w:pPr>
      <w:r>
        <w:rPr>
          <w:rFonts w:ascii="游ゴシック" w:hAnsi="游ゴシック" w:eastAsia="游ゴシック"/>
          <w:b/>
          <w:i w:val="0"/>
          <w:color w:val="1F4D78"/>
          <w:sz w:val="22"/>
        </w:rPr>
        <w:t>【表3】高齢者計画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第117条第1項</w:t>
            </w:r>
          </w:p>
        </w:tc>
        <w:tc>
          <w:tcPr>
            <w:tcW w:type="dxa" w:w="2835"/>
            <w:vAlign w:val="center"/>
          </w:tcPr>
          <w:p>
            <w:pPr>
              <w:spacing w:before="20" w:after="20"/>
            </w:pPr>
            <w:r>
              <w:rPr>
                <w:rFonts w:ascii="游ゴシック" w:hAnsi="游ゴシック" w:eastAsia="游ゴシック"/>
                <w:b w:val="0"/>
                <w:i w:val="0"/>
                <w:sz w:val="17"/>
              </w:rPr>
              <w:t>基本指針に即した3年一期の計画</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区域ごとの各年度の介護給付等対象サービスの種類ごとの量の見込み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地域密着型3サービスの</w:t>
            </w:r>
            <w:r>
              <w:rPr>
                <w:rFonts w:ascii="游ゴシック" w:hAnsi="游ゴシック" w:eastAsia="游ゴシック"/>
                <w:b/>
                <w:i w:val="0"/>
                <w:sz w:val="17"/>
              </w:rPr>
              <w:t>必要利用定員総数</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第6章8</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第117条第2項第2号</w:t>
            </w:r>
          </w:p>
        </w:tc>
        <w:tc>
          <w:tcPr>
            <w:tcW w:type="dxa" w:w="2835"/>
            <w:vAlign w:val="center"/>
          </w:tcPr>
          <w:p>
            <w:pPr>
              <w:spacing w:before="20" w:after="20"/>
            </w:pPr>
            <w:r>
              <w:rPr>
                <w:rFonts w:ascii="游ゴシック" w:hAnsi="游ゴシック" w:eastAsia="游ゴシック"/>
                <w:b w:val="0"/>
                <w:i w:val="0"/>
                <w:sz w:val="17"/>
              </w:rPr>
              <w:t>各年度における</w:t>
            </w:r>
            <w:r>
              <w:rPr>
                <w:rFonts w:ascii="游ゴシック" w:hAnsi="游ゴシック" w:eastAsia="游ゴシック"/>
                <w:b/>
                <w:i w:val="0"/>
                <w:sz w:val="17"/>
              </w:rPr>
              <w:t>地域支援事業の量</w:t>
            </w:r>
            <w:r>
              <w:rPr>
                <w:rFonts w:ascii="游ゴシック" w:hAnsi="游ゴシック" w:eastAsia="游ゴシック"/>
                <w:b w:val="0"/>
                <w:i w:val="0"/>
                <w:sz w:val="17"/>
              </w:rPr>
              <w:t>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第117条第2項第3号</w:t>
            </w:r>
          </w:p>
        </w:tc>
        <w:tc>
          <w:tcPr>
            <w:tcW w:type="dxa" w:w="2835"/>
            <w:vAlign w:val="center"/>
          </w:tcPr>
          <w:p>
            <w:pPr>
              <w:spacing w:before="20" w:after="20"/>
            </w:pPr>
            <w:r>
              <w:rPr>
                <w:rFonts w:ascii="游ゴシック" w:hAnsi="游ゴシック" w:eastAsia="游ゴシック"/>
                <w:b w:val="0"/>
                <w:i w:val="0"/>
                <w:sz w:val="17"/>
              </w:rPr>
              <w:t>サービスの種類ごとの量</w:t>
            </w:r>
            <w:r>
              <w:rPr>
                <w:rFonts w:ascii="游ゴシック" w:hAnsi="游ゴシック" w:eastAsia="游ゴシック"/>
                <w:b/>
                <w:i w:val="0"/>
                <w:sz w:val="17"/>
              </w:rPr>
              <w:t>及び地域支援事業の量</w:t>
            </w:r>
            <w:r>
              <w:rPr>
                <w:rFonts w:ascii="游ゴシック" w:hAnsi="游ゴシック" w:eastAsia="游ゴシック"/>
                <w:b w:val="0"/>
                <w:i w:val="0"/>
                <w:sz w:val="17"/>
              </w:rPr>
              <w:t>の中長期的な推計【新設】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第117条第2項第4号</w:t>
            </w:r>
          </w:p>
        </w:tc>
        <w:tc>
          <w:tcPr>
            <w:tcW w:type="dxa" w:w="2835"/>
            <w:vAlign w:val="center"/>
          </w:tcPr>
          <w:p>
            <w:pPr>
              <w:spacing w:before="20" w:after="20"/>
            </w:pPr>
            <w:r>
              <w:rPr>
                <w:rFonts w:ascii="游ゴシック" w:hAnsi="游ゴシック" w:eastAsia="游ゴシック"/>
                <w:b w:val="0"/>
                <w:i w:val="0"/>
                <w:sz w:val="17"/>
              </w:rPr>
              <w:t>サービス提供体制の確保</w:t>
            </w:r>
            <w:r>
              <w:rPr>
                <w:rFonts w:ascii="游ゴシック" w:hAnsi="游ゴシック" w:eastAsia="游ゴシック"/>
                <w:b/>
                <w:i w:val="0"/>
                <w:sz w:val="17"/>
              </w:rPr>
              <w:t>及び地域支援事業の実施</w:t>
            </w:r>
            <w:r>
              <w:rPr>
                <w:rFonts w:ascii="游ゴシック" w:hAnsi="游ゴシック" w:eastAsia="游ゴシック"/>
                <w:b w:val="0"/>
                <w:i w:val="0"/>
                <w:sz w:val="17"/>
              </w:rPr>
              <w:t>に関し、中長期的な観点から市町村が取り組むべき施策【新設】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第117条第2項第5号</w:t>
            </w:r>
          </w:p>
        </w:tc>
        <w:tc>
          <w:tcPr>
            <w:tcW w:type="dxa" w:w="2835"/>
            <w:vAlign w:val="center"/>
          </w:tcPr>
          <w:p>
            <w:pPr>
              <w:spacing w:before="20" w:after="20"/>
            </w:pPr>
            <w:r>
              <w:rPr>
                <w:rFonts w:ascii="游ゴシック" w:hAnsi="游ゴシック" w:eastAsia="游ゴシック"/>
                <w:b w:val="0"/>
                <w:i w:val="0"/>
                <w:sz w:val="17"/>
              </w:rPr>
              <w:t>自立支援・介護予防・重度化防止・給付適正化に関し市町村が取り組むべき施策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第5章・第6章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第117条第2項第6号</w:t>
            </w:r>
          </w:p>
        </w:tc>
        <w:tc>
          <w:tcPr>
            <w:tcW w:type="dxa" w:w="2835"/>
            <w:vAlign w:val="center"/>
          </w:tcPr>
          <w:p>
            <w:pPr>
              <w:spacing w:before="20" w:after="20"/>
            </w:pPr>
            <w:r>
              <w:rPr>
                <w:rFonts w:ascii="游ゴシック" w:hAnsi="游ゴシック" w:eastAsia="游ゴシック"/>
                <w:b w:val="0"/>
                <w:i w:val="0"/>
                <w:sz w:val="17"/>
              </w:rPr>
              <w:t>前号の施策の</w:t>
            </w:r>
            <w:r>
              <w:rPr>
                <w:rFonts w:ascii="游ゴシック" w:hAnsi="游ゴシック" w:eastAsia="游ゴシック"/>
                <w:b/>
                <w:i w:val="0"/>
                <w:sz w:val="17"/>
              </w:rPr>
              <w:t>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第5章各施策・第7章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第117条第3項第3号</w:t>
            </w:r>
          </w:p>
        </w:tc>
        <w:tc>
          <w:tcPr>
            <w:tcW w:type="dxa" w:w="2835"/>
            <w:vAlign w:val="center"/>
          </w:tcPr>
          <w:p>
            <w:pPr>
              <w:spacing w:before="20" w:after="20"/>
            </w:pPr>
            <w:r>
              <w:rPr>
                <w:rFonts w:ascii="游ゴシック" w:hAnsi="游ゴシック" w:eastAsia="游ゴシック"/>
                <w:b w:val="0"/>
                <w:i w:val="0"/>
                <w:sz w:val="17"/>
              </w:rPr>
              <w:t>費用の額・保険料の水準に関する中長期的な推計</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w:t>
            </w:r>
          </w:p>
        </w:tc>
        <w:tc>
          <w:tcPr>
            <w:tcW w:type="dxa" w:w="2835"/>
            <w:vAlign w:val="center"/>
          </w:tcPr>
          <w:p>
            <w:pPr>
              <w:spacing w:before="20" w:after="20"/>
            </w:pPr>
            <w:r>
              <w:rPr>
                <w:rFonts w:ascii="游ゴシック" w:hAnsi="游ゴシック" w:eastAsia="游ゴシック"/>
                <w:b w:val="0"/>
                <w:i w:val="0"/>
                <w:sz w:val="17"/>
              </w:rPr>
              <w:t>サービス提供の生産性向上・従事者の確保・経営基盤【新設】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基本目標3②・第6章12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第117条第3項第4号の2</w:t>
            </w:r>
          </w:p>
        </w:tc>
        <w:tc>
          <w:tcPr>
            <w:tcW w:type="dxa" w:w="2835"/>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第117条第3項第5号</w:t>
            </w:r>
          </w:p>
        </w:tc>
        <w:tc>
          <w:tcPr>
            <w:tcW w:type="dxa" w:w="2835"/>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における生産性の向上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第117条第3項第9号</w:t>
            </w:r>
          </w:p>
        </w:tc>
        <w:tc>
          <w:tcPr>
            <w:tcW w:type="dxa" w:w="2835"/>
            <w:vAlign w:val="center"/>
          </w:tcPr>
          <w:p>
            <w:pPr>
              <w:spacing w:before="20" w:after="20"/>
            </w:pPr>
            <w:r>
              <w:rPr>
                <w:rFonts w:ascii="游ゴシック" w:hAnsi="游ゴシック" w:eastAsia="游ゴシック"/>
                <w:b w:val="0"/>
                <w:i w:val="0"/>
                <w:sz w:val="17"/>
              </w:rPr>
              <w:t>区域ごとの有料老人ホーム・登録住宅のそれぞれの入居定員総数</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第117条第5項【新設】</w:t>
            </w:r>
          </w:p>
        </w:tc>
        <w:tc>
          <w:tcPr>
            <w:tcW w:type="dxa" w:w="2835"/>
            <w:vAlign w:val="center"/>
          </w:tcPr>
          <w:p>
            <w:pPr>
              <w:spacing w:before="20" w:after="20"/>
            </w:pPr>
            <w:r>
              <w:rPr>
                <w:rFonts w:ascii="游ゴシック" w:hAnsi="游ゴシック" w:eastAsia="游ゴシック"/>
                <w:b w:val="0"/>
                <w:i w:val="0"/>
                <w:sz w:val="17"/>
              </w:rPr>
              <w:t>住まいの入居定員総数と医療介護連携の状況を</w:t>
            </w:r>
            <w:r>
              <w:rPr>
                <w:rFonts w:ascii="游ゴシック" w:hAnsi="游ゴシック" w:eastAsia="游ゴシック"/>
                <w:b/>
                <w:i w:val="0"/>
                <w:sz w:val="17"/>
              </w:rPr>
              <w:t>勘案</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第117条第10項（改正後第11項）</w:t>
            </w:r>
          </w:p>
        </w:tc>
        <w:tc>
          <w:tcPr>
            <w:tcW w:type="dxa" w:w="2835"/>
            <w:vAlign w:val="center"/>
          </w:tcPr>
          <w:p>
            <w:pPr>
              <w:spacing w:before="20" w:after="20"/>
            </w:pPr>
            <w:r>
              <w:rPr>
                <w:rFonts w:ascii="游ゴシック" w:hAnsi="游ゴシック" w:eastAsia="游ゴシック"/>
                <w:b/>
                <w:i w:val="0"/>
                <w:sz w:val="17"/>
              </w:rPr>
              <w:t>医療介護総合確保促進法第5条第1項の市町村計画</w:t>
            </w:r>
            <w:r>
              <w:rPr>
                <w:rFonts w:ascii="游ゴシック" w:hAnsi="游ゴシック" w:eastAsia="游ゴシック"/>
                <w:b w:val="0"/>
                <w:i w:val="0"/>
                <w:sz w:val="17"/>
              </w:rPr>
              <w:t>との整合性の確保</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第117条第7項（改正後第8項）</w:t>
            </w:r>
          </w:p>
        </w:tc>
        <w:tc>
          <w:tcPr>
            <w:tcW w:type="dxa" w:w="2835"/>
            <w:vAlign w:val="center"/>
          </w:tcPr>
          <w:p>
            <w:pPr>
              <w:spacing w:before="20" w:after="20"/>
            </w:pPr>
            <w:r>
              <w:rPr>
                <w:rFonts w:ascii="游ゴシック" w:hAnsi="游ゴシック" w:eastAsia="游ゴシック"/>
                <w:b w:val="0"/>
                <w:i w:val="0"/>
                <w:sz w:val="17"/>
              </w:rPr>
              <w:t>市町村老人福祉計画と</w:t>
            </w:r>
            <w:r>
              <w:rPr>
                <w:rFonts w:ascii="游ゴシック" w:hAnsi="游ゴシック" w:eastAsia="游ゴシック"/>
                <w:b/>
                <w:i w:val="0"/>
                <w:sz w:val="17"/>
              </w:rPr>
              <w:t>一体</w:t>
            </w:r>
            <w:r>
              <w:rPr>
                <w:rFonts w:ascii="游ゴシック" w:hAnsi="游ゴシック" w:eastAsia="游ゴシック"/>
                <w:b w:val="0"/>
                <w:i w:val="0"/>
                <w:sz w:val="17"/>
              </w:rPr>
              <w:t>のものとして作成</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第117条第11項（改正後第12項）</w:t>
            </w:r>
          </w:p>
        </w:tc>
        <w:tc>
          <w:tcPr>
            <w:tcW w:type="dxa" w:w="2835"/>
            <w:vAlign w:val="center"/>
          </w:tcPr>
          <w:p>
            <w:pPr>
              <w:spacing w:before="20" w:after="20"/>
            </w:pPr>
            <w:r>
              <w:rPr>
                <w:rFonts w:ascii="游ゴシック" w:hAnsi="游ゴシック" w:eastAsia="游ゴシック"/>
                <w:b/>
                <w:i w:val="0"/>
                <w:sz w:val="17"/>
              </w:rPr>
              <w:t>市町村地域福祉計画・市町村高齢者居住安定確保計画</w:t>
            </w:r>
            <w:r>
              <w:rPr>
                <w:rFonts w:ascii="游ゴシック" w:hAnsi="游ゴシック" w:eastAsia="游ゴシック"/>
                <w:b w:val="0"/>
                <w:i w:val="0"/>
                <w:sz w:val="17"/>
              </w:rPr>
              <w:t>その他の計画と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第117条第8項（改正後第9項）</w:t>
            </w:r>
          </w:p>
        </w:tc>
        <w:tc>
          <w:tcPr>
            <w:tcW w:type="dxa" w:w="2835"/>
            <w:vAlign w:val="center"/>
          </w:tcPr>
          <w:p>
            <w:pPr>
              <w:spacing w:before="20" w:after="20"/>
            </w:pPr>
            <w:r>
              <w:rPr>
                <w:rFonts w:ascii="游ゴシック" w:hAnsi="游ゴシック" w:eastAsia="游ゴシック"/>
                <w:b/>
                <w:i w:val="0"/>
                <w:sz w:val="17"/>
              </w:rPr>
              <w:t>第2項第5号</w:t>
            </w:r>
            <w:r>
              <w:rPr>
                <w:rFonts w:ascii="游ゴシック" w:hAnsi="游ゴシック" w:eastAsia="游ゴシック"/>
                <w:b w:val="0"/>
                <w:i w:val="0"/>
                <w:sz w:val="17"/>
              </w:rPr>
              <w:t>の施策の実施状況及び</w:t>
            </w:r>
            <w:r>
              <w:rPr>
                <w:rFonts w:ascii="游ゴシック" w:hAnsi="游ゴシック" w:eastAsia="游ゴシック"/>
                <w:b/>
                <w:i w:val="0"/>
                <w:sz w:val="17"/>
              </w:rPr>
              <w:t>同項第6号</w:t>
            </w:r>
            <w:r>
              <w:rPr>
                <w:rFonts w:ascii="游ゴシック" w:hAnsi="游ゴシック" w:eastAsia="游ゴシック"/>
                <w:b w:val="0"/>
                <w:i w:val="0"/>
                <w:sz w:val="17"/>
              </w:rPr>
              <w:t>の目標の達成状況に関する調査及び分析・評価</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第117条第13項（改正後第14項）</w:t>
            </w:r>
          </w:p>
        </w:tc>
        <w:tc>
          <w:tcPr>
            <w:tcW w:type="dxa" w:w="2835"/>
            <w:vAlign w:val="center"/>
          </w:tcPr>
          <w:p>
            <w:pPr>
              <w:spacing w:before="20" w:after="20"/>
            </w:pPr>
            <w:r>
              <w:rPr>
                <w:rFonts w:ascii="游ゴシック" w:hAnsi="游ゴシック" w:eastAsia="游ゴシック"/>
                <w:b w:val="0"/>
                <w:i w:val="0"/>
                <w:sz w:val="17"/>
              </w:rPr>
              <w:t>計画の策定・変更にあたり</w:t>
            </w:r>
            <w:r>
              <w:rPr>
                <w:rFonts w:ascii="游ゴシック" w:hAnsi="游ゴシック" w:eastAsia="游ゴシック"/>
                <w:b/>
                <w:i w:val="0"/>
                <w:sz w:val="17"/>
              </w:rPr>
              <w:t>あらかじめ都道府県の意見を聴く</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第1章・工程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老福法第20条の8第2項</w:t>
            </w:r>
          </w:p>
        </w:tc>
        <w:tc>
          <w:tcPr>
            <w:tcW w:type="dxa" w:w="2835"/>
            <w:vAlign w:val="center"/>
          </w:tcPr>
          <w:p>
            <w:pPr>
              <w:spacing w:before="20" w:after="20"/>
            </w:pPr>
            <w:r>
              <w:rPr>
                <w:rFonts w:ascii="游ゴシック" w:hAnsi="游ゴシック" w:eastAsia="游ゴシック"/>
                <w:b w:val="0"/>
                <w:i w:val="0"/>
                <w:sz w:val="17"/>
              </w:rPr>
              <w:t>区域において確保すべき</w:t>
            </w:r>
            <w:r>
              <w:rPr>
                <w:rFonts w:ascii="游ゴシック" w:hAnsi="游ゴシック" w:eastAsia="游ゴシック"/>
                <w:b/>
                <w:i w:val="0"/>
                <w:sz w:val="17"/>
              </w:rPr>
              <w:t>老人福祉事業の量の目標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第6章に新設が要る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老福法第20条の8第3項第3号【新設】</w:t>
            </w:r>
          </w:p>
        </w:tc>
        <w:tc>
          <w:tcPr>
            <w:tcW w:type="dxa" w:w="2835"/>
            <w:vAlign w:val="center"/>
          </w:tcPr>
          <w:p>
            <w:pPr>
              <w:spacing w:before="20" w:after="20"/>
            </w:pPr>
            <w:r>
              <w:rPr>
                <w:rFonts w:ascii="游ゴシック" w:hAnsi="游ゴシック" w:eastAsia="游ゴシック"/>
                <w:b w:val="0"/>
                <w:i w:val="0"/>
                <w:sz w:val="17"/>
              </w:rPr>
              <w:t>老人福祉事業等を営む者と</w:t>
            </w:r>
            <w:r>
              <w:rPr>
                <w:rFonts w:ascii="游ゴシック" w:hAnsi="游ゴシック" w:eastAsia="游ゴシック"/>
                <w:b/>
                <w:i w:val="0"/>
                <w:sz w:val="17"/>
              </w:rPr>
              <w:t>社会福祉法第4条第3項の支援関係機関</w:t>
            </w:r>
            <w:r>
              <w:rPr>
                <w:rFonts w:ascii="游ゴシック" w:hAnsi="游ゴシック" w:eastAsia="游ゴシック"/>
                <w:b w:val="0"/>
                <w:i w:val="0"/>
                <w:sz w:val="17"/>
              </w:rPr>
              <w:t>との連携に関する事項</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第6章9</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認知症基本法第13条第1項</w:t>
            </w:r>
          </w:p>
        </w:tc>
        <w:tc>
          <w:tcPr>
            <w:tcW w:type="dxa" w:w="2835"/>
            <w:vAlign w:val="center"/>
          </w:tcPr>
          <w:p>
            <w:pPr>
              <w:spacing w:before="20" w:after="20"/>
            </w:pPr>
            <w:r>
              <w:rPr>
                <w:rFonts w:ascii="游ゴシック" w:hAnsi="游ゴシック" w:eastAsia="游ゴシック"/>
                <w:b w:val="0"/>
                <w:i w:val="0"/>
                <w:sz w:val="17"/>
              </w:rPr>
              <w:t>市町村認知症施策推進計画</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第1章2・第5章 基本目標2③</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認知症基本法第13条第3項（準用する第12条第3項）</w:t>
            </w:r>
          </w:p>
        </w:tc>
        <w:tc>
          <w:tcPr>
            <w:tcW w:type="dxa" w:w="2835"/>
            <w:vAlign w:val="center"/>
          </w:tcPr>
          <w:p>
            <w:pPr>
              <w:spacing w:before="20" w:after="20"/>
            </w:pPr>
            <w:r>
              <w:rPr>
                <w:rFonts w:ascii="游ゴシック" w:hAnsi="游ゴシック" w:eastAsia="游ゴシック"/>
                <w:b w:val="0"/>
                <w:i w:val="0"/>
                <w:sz w:val="17"/>
              </w:rPr>
              <w:t>認知症の人及び家族等の</w:t>
            </w:r>
            <w:r>
              <w:rPr>
                <w:rFonts w:ascii="游ゴシック" w:hAnsi="游ゴシック" w:eastAsia="游ゴシック"/>
                <w:b/>
                <w:i w:val="0"/>
                <w:sz w:val="17"/>
              </w:rPr>
              <w:t>意見を聴く</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基本目標2③</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○23件／△・✕0件（うち義務0件）です。</w:t>
      </w:r>
    </w:p>
    <w:p>
      <w:pPr>
        <w:pStyle w:val="Heading1"/>
        <w:keepNext/>
        <w:spacing w:before="240" w:after="100"/>
      </w:pPr>
      <w:bookmarkStart w:id="104" w:name="_Toc_004"/>
      <w:r>
        <w:rPr>
          <w:rFonts w:ascii="游ゴシック" w:hAnsi="游ゴシック" w:eastAsia="游ゴシック"/>
          <w:b/>
          <w:i w:val="0"/>
          <w:color w:val="2E74B5"/>
          <w:sz w:val="30"/>
        </w:rPr>
        <w:t>3　障がい計画（障害者総合支援法・児童福祉法・障害者基本法）</w:t>
      </w:r>
      <w:bookmarkEnd w:id="104"/>
    </w:p>
    <w:p>
      <w:pPr>
        <w:keepNext/>
        <w:spacing w:before="200" w:after="40"/>
      </w:pPr>
      <w:r>
        <w:rPr>
          <w:rFonts w:ascii="游ゴシック" w:hAnsi="游ゴシック" w:eastAsia="游ゴシック"/>
          <w:b/>
          <w:i w:val="0"/>
          <w:color w:val="1F4D78"/>
          <w:sz w:val="22"/>
        </w:rPr>
        <w:t>【表4】障がい計画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総合支援法第88条第1項</w:t>
            </w:r>
          </w:p>
        </w:tc>
        <w:tc>
          <w:tcPr>
            <w:tcW w:type="dxa" w:w="2835"/>
            <w:vAlign w:val="center"/>
          </w:tcPr>
          <w:p>
            <w:pPr>
              <w:spacing w:before="20" w:after="20"/>
            </w:pPr>
            <w:r>
              <w:rPr>
                <w:rFonts w:ascii="游ゴシック" w:hAnsi="游ゴシック" w:eastAsia="游ゴシック"/>
                <w:b w:val="0"/>
                <w:i w:val="0"/>
                <w:sz w:val="17"/>
              </w:rPr>
              <w:t>市町村障害福祉計画を定める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総合支援法第88条第2項</w:t>
            </w:r>
          </w:p>
        </w:tc>
        <w:tc>
          <w:tcPr>
            <w:tcW w:type="dxa" w:w="2835"/>
            <w:vAlign w:val="center"/>
          </w:tcPr>
          <w:p>
            <w:pPr>
              <w:spacing w:before="20" w:after="20"/>
            </w:pPr>
            <w:r>
              <w:rPr>
                <w:rFonts w:ascii="游ゴシック" w:hAnsi="游ゴシック" w:eastAsia="游ゴシック"/>
                <w:b w:val="0"/>
                <w:i w:val="0"/>
                <w:sz w:val="17"/>
              </w:rPr>
              <w:t>障害福祉サービス等の種類ごとの必要な量の見込み・確保のための方策・成果目標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第3部第1章・第2章・第3章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総合支援法第88条第3項第3号</w:t>
            </w:r>
          </w:p>
        </w:tc>
        <w:tc>
          <w:tcPr>
            <w:tcW w:type="dxa" w:w="2835"/>
            <w:vAlign w:val="center"/>
          </w:tcPr>
          <w:p>
            <w:pPr>
              <w:spacing w:before="20" w:after="20"/>
            </w:pPr>
            <w:r>
              <w:rPr>
                <w:rFonts w:ascii="游ゴシック" w:hAnsi="游ゴシック" w:eastAsia="游ゴシック"/>
                <w:b w:val="0"/>
                <w:i w:val="0"/>
                <w:sz w:val="17"/>
              </w:rPr>
              <w:t>障害福祉サービス・相談支援の生産性向上・従事者の確保・経営基盤【新設】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第1部第1章4-2・第3部第3章4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総合支援法第88条第3項第4号</w:t>
            </w:r>
          </w:p>
        </w:tc>
        <w:tc>
          <w:tcPr>
            <w:tcW w:type="dxa" w:w="2835"/>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総合支援法第88条第3項第5号</w:t>
            </w:r>
          </w:p>
        </w:tc>
        <w:tc>
          <w:tcPr>
            <w:tcW w:type="dxa" w:w="2835"/>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総合支援法第88条第9項</w:t>
            </w:r>
          </w:p>
        </w:tc>
        <w:tc>
          <w:tcPr>
            <w:tcW w:type="dxa" w:w="2835"/>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の意見を聴く（設置しているとき）</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第1部第1章4-2・第4部</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i w:val="0"/>
                <w:sz w:val="17"/>
              </w:rPr>
              <w:t>総合支援法第88条第7項</w:t>
            </w:r>
            <w:r>
              <w:rPr>
                <w:rFonts w:ascii="游ゴシック" w:hAnsi="游ゴシック" w:eastAsia="游ゴシック"/>
                <w:b w:val="0"/>
                <w:i w:val="0"/>
                <w:sz w:val="17"/>
              </w:rPr>
              <w:br/>
            </w:r>
            <w:r>
              <w:rPr>
                <w:rFonts w:ascii="游ゴシック" w:hAnsi="游ゴシック" w:eastAsia="游ゴシック"/>
                <w:b/>
                <w:i w:val="0"/>
                <w:sz w:val="17"/>
              </w:rPr>
              <w:t>児福法第33条の20第7項</w:t>
            </w:r>
          </w:p>
        </w:tc>
        <w:tc>
          <w:tcPr>
            <w:tcW w:type="dxa" w:w="2835"/>
            <w:vAlign w:val="center"/>
          </w:tcPr>
          <w:p>
            <w:pPr>
              <w:spacing w:before="20" w:after="20"/>
            </w:pPr>
            <w:r>
              <w:rPr>
                <w:rFonts w:ascii="游ゴシック" w:hAnsi="游ゴシック" w:eastAsia="游ゴシック"/>
                <w:b w:val="0"/>
                <w:i w:val="0"/>
                <w:sz w:val="17"/>
              </w:rPr>
              <w:t>市町村障害者計画・市町村地域福祉計画その他と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児福法第33条の20第2項</w:t>
            </w:r>
          </w:p>
        </w:tc>
        <w:tc>
          <w:tcPr>
            <w:tcW w:type="dxa" w:w="2835"/>
            <w:vAlign w:val="center"/>
          </w:tcPr>
          <w:p>
            <w:pPr>
              <w:spacing w:before="20" w:after="20"/>
            </w:pPr>
            <w:r>
              <w:rPr>
                <w:rFonts w:ascii="游ゴシック" w:hAnsi="游ゴシック" w:eastAsia="游ゴシック"/>
                <w:b w:val="0"/>
                <w:i w:val="0"/>
                <w:sz w:val="17"/>
              </w:rPr>
              <w:t>障害児通所支援等の種類ごとの必要な見込量・確保のための方策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第3部第2章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児福法第33条の20第3項第3号</w:t>
            </w:r>
          </w:p>
        </w:tc>
        <w:tc>
          <w:tcPr>
            <w:tcW w:type="dxa" w:w="2835"/>
            <w:vAlign w:val="center"/>
          </w:tcPr>
          <w:p>
            <w:pPr>
              <w:spacing w:before="20" w:after="20"/>
            </w:pPr>
            <w:r>
              <w:rPr>
                <w:rFonts w:ascii="游ゴシック" w:hAnsi="游ゴシック" w:eastAsia="游ゴシック"/>
                <w:b w:val="0"/>
                <w:i w:val="0"/>
                <w:sz w:val="17"/>
              </w:rPr>
              <w:t>障害児通所支援・障害児相談支援の生産性向上等【新設】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障害者基本法第11条第3項</w:t>
            </w:r>
          </w:p>
        </w:tc>
        <w:tc>
          <w:tcPr>
            <w:tcW w:type="dxa" w:w="2835"/>
            <w:vAlign w:val="center"/>
          </w:tcPr>
          <w:p>
            <w:pPr>
              <w:spacing w:before="20" w:after="20"/>
            </w:pPr>
            <w:r>
              <w:rPr>
                <w:rFonts w:ascii="游ゴシック" w:hAnsi="游ゴシック" w:eastAsia="游ゴシック"/>
                <w:b w:val="0"/>
                <w:i w:val="0"/>
                <w:sz w:val="17"/>
              </w:rPr>
              <w:t>市町村障害者計画（障害者基本計画・都道府県計画を基本とする）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医療的ケア児支援法（令和8年法律第77号）</w:t>
            </w:r>
          </w:p>
        </w:tc>
        <w:tc>
          <w:tcPr>
            <w:tcW w:type="dxa" w:w="2835"/>
            <w:vAlign w:val="center"/>
          </w:tcPr>
          <w:p>
            <w:pPr>
              <w:spacing w:before="20" w:after="20"/>
            </w:pPr>
            <w:r>
              <w:rPr>
                <w:rFonts w:ascii="游ゴシック" w:hAnsi="游ゴシック" w:eastAsia="游ゴシック"/>
                <w:b/>
                <w:i w:val="0"/>
                <w:sz w:val="17"/>
              </w:rPr>
              <w:t>18歳以上の医療的ケア児等・重症心身障害者</w:t>
            </w:r>
            <w:r>
              <w:rPr>
                <w:rFonts w:ascii="游ゴシック" w:hAnsi="游ゴシック" w:eastAsia="游ゴシック"/>
                <w:b w:val="0"/>
                <w:i w:val="0"/>
                <w:sz w:val="17"/>
              </w:rPr>
              <w:t>を支援対象に追加</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第1部第1章4-2・第3部第1章⑧</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同法（題名の改正）</w:t>
            </w:r>
          </w:p>
        </w:tc>
        <w:tc>
          <w:tcPr>
            <w:tcW w:type="dxa" w:w="2835"/>
            <w:vAlign w:val="center"/>
          </w:tcPr>
          <w:p>
            <w:pPr>
              <w:spacing w:before="20" w:after="20"/>
            </w:pPr>
            <w:r>
              <w:rPr>
                <w:rFonts w:ascii="游ゴシック" w:hAnsi="游ゴシック" w:eastAsia="游ゴシック"/>
                <w:b/>
                <w:i w:val="0"/>
                <w:sz w:val="17"/>
              </w:rPr>
              <w:t>題名が「医療的ケア児等及び重症心身障害者並びにそれらの家族に対する支援に関する法律」に改まる</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第1部第1章3</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○12件／△・✕0件です。</w:t>
      </w:r>
      <w:r>
        <w:rPr>
          <w:rFonts w:ascii="游ゴシック" w:hAnsi="游ゴシック" w:eastAsia="游ゴシック"/>
          <w:b w:val="0"/>
          <w:i w:val="0"/>
          <w:sz w:val="21"/>
        </w:rPr>
        <w:t xml:space="preserve"> </w:t>
      </w:r>
      <w:r>
        <w:rPr>
          <w:rFonts w:ascii="游ゴシック" w:hAnsi="游ゴシック" w:eastAsia="游ゴシック"/>
          <w:b/>
          <w:i w:val="0"/>
          <w:sz w:val="21"/>
        </w:rPr>
        <w:t>障がい計画も素案（第1版）に展開したため、骨子案ではなく素案本文を見ています。</w:t>
      </w:r>
    </w:p>
    <w:p>
      <w:pPr>
        <w:pStyle w:val="Heading1"/>
        <w:keepNext/>
        <w:spacing w:before="240" w:after="100"/>
      </w:pPr>
      <w:bookmarkStart w:id="105" w:name="_Toc_005"/>
      <w:r>
        <w:rPr>
          <w:rFonts w:ascii="游ゴシック" w:hAnsi="游ゴシック" w:eastAsia="游ゴシック"/>
          <w:b/>
          <w:i w:val="0"/>
          <w:color w:val="2E74B5"/>
          <w:sz w:val="30"/>
        </w:rPr>
        <w:t>4　手当てが要るもの</w:t>
      </w:r>
      <w:bookmarkEnd w:id="105"/>
    </w:p>
    <w:p>
      <w:pPr>
        <w:pStyle w:val="Heading2"/>
        <w:keepNext/>
        <w:spacing w:before="180" w:after="100"/>
      </w:pPr>
      <w:bookmarkStart w:id="106" w:name="_Toc_006"/>
      <w:r>
        <w:rPr>
          <w:rFonts w:ascii="游ゴシック" w:hAnsi="游ゴシック" w:eastAsia="游ゴシック"/>
          <w:b/>
          <w:i w:val="0"/>
          <w:color w:val="2E74B5"/>
          <w:sz w:val="25"/>
        </w:rPr>
        <w:t>4-1　老人福祉事業の量の目標（老人福祉法第20条の8第2項・義務）</w:t>
      </w:r>
      <w:bookmarkEnd w:id="106"/>
    </w:p>
    <w:p>
      <w:pPr>
        <w:spacing w:before="60" w:after="60"/>
      </w:pPr>
      <w:r>
        <w:rPr>
          <w:rFonts w:ascii="游ゴシック" w:hAnsi="游ゴシック" w:eastAsia="游ゴシック"/>
          <w:b/>
          <w:i w:val="0"/>
          <w:sz w:val="21"/>
        </w:rPr>
        <w:t>本計画に、この名で掲げた節がありません。</w:t>
      </w:r>
      <w:r>
        <w:rPr>
          <w:rFonts w:ascii="游ゴシック" w:hAnsi="游ゴシック" w:eastAsia="游ゴシック"/>
          <w:b w:val="0"/>
          <w:i w:val="0"/>
          <w:sz w:val="21"/>
        </w:rPr>
        <w:t>同項は「当該市町村の区域において確保すべき</w:t>
      </w:r>
      <w:r>
        <w:rPr>
          <w:rFonts w:ascii="游ゴシック" w:hAnsi="游ゴシック" w:eastAsia="游ゴシック"/>
          <w:b/>
          <w:i w:val="0"/>
          <w:sz w:val="21"/>
        </w:rPr>
        <w:t>老人福祉事業の量の目標</w:t>
      </w:r>
      <w:r>
        <w:rPr>
          <w:rFonts w:ascii="游ゴシック" w:hAnsi="游ゴシック" w:eastAsia="游ゴシック"/>
          <w:b w:val="0"/>
          <w:i w:val="0"/>
          <w:sz w:val="21"/>
        </w:rPr>
        <w:t>」を定めることを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w:t>
      </w:r>
      <w:r>
        <w:rPr>
          <w:rFonts w:ascii="游ゴシック" w:hAnsi="游ゴシック" w:eastAsia="游ゴシック"/>
          <w:b/>
          <w:i w:val="0"/>
          <w:sz w:val="21"/>
        </w:rPr>
        <w:t>新旧対照条文で確かめたところ、同条は今回の改正の対象外</w:t>
      </w:r>
      <w:r>
        <w:rPr>
          <w:rFonts w:ascii="游ゴシック" w:hAnsi="游ゴシック" w:eastAsia="游ゴシック"/>
          <w:b w:val="0"/>
          <w:i w:val="0"/>
          <w:sz w:val="21"/>
        </w:rPr>
        <w:t>であり、現行法のまま義務です。</w:t>
      </w:r>
    </w:p>
    <w:p>
      <w:pPr>
        <w:spacing w:before="60" w:after="60"/>
      </w:pPr>
      <w:r>
        <w:rPr>
          <w:rFonts w:ascii="游ゴシック" w:hAnsi="游ゴシック" w:eastAsia="游ゴシック"/>
          <w:b/>
          <w:i w:val="0"/>
          <w:sz w:val="21"/>
        </w:rPr>
        <w:t>老人福祉事業は、介護保険の見込量と重なる部分と、重ならない部分があります。</w:t>
      </w:r>
    </w:p>
    <w:p>
      <w:pPr>
        <w:keepNext/>
        <w:spacing w:before="200" w:after="40"/>
      </w:pPr>
      <w:r>
        <w:rPr>
          <w:rFonts w:ascii="游ゴシック" w:hAnsi="游ゴシック" w:eastAsia="游ゴシック"/>
          <w:b/>
          <w:i w:val="0"/>
          <w:color w:val="1F4D78"/>
          <w:sz w:val="22"/>
        </w:rPr>
        <w:t>【表5】老人福祉事業の範囲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195"/>
        <w:gridCol w:w="3628"/>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老人福祉法上の事業</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介護保険の見込量との関係</w:t>
            </w:r>
          </w:p>
        </w:tc>
      </w:tr>
      <w:tr>
        <w:tc>
          <w:tcPr>
            <w:tcW w:type="dxa" w:w="1928"/>
            <w:vAlign w:val="center"/>
          </w:tcPr>
          <w:p>
            <w:pPr>
              <w:keepNext/>
              <w:spacing w:before="20" w:after="20"/>
            </w:pPr>
            <w:r>
              <w:rPr>
                <w:rFonts w:ascii="游ゴシック" w:hAnsi="游ゴシック" w:eastAsia="游ゴシック"/>
                <w:b w:val="0"/>
                <w:i w:val="0"/>
                <w:sz w:val="17"/>
              </w:rPr>
              <w:t>老人居宅生活支援事業</w:t>
            </w:r>
          </w:p>
        </w:tc>
        <w:tc>
          <w:tcPr>
            <w:tcW w:type="dxa" w:w="4195"/>
            <w:vAlign w:val="center"/>
          </w:tcPr>
          <w:p>
            <w:pPr>
              <w:keepNext/>
              <w:spacing w:before="20" w:after="20"/>
            </w:pPr>
            <w:r>
              <w:rPr>
                <w:rFonts w:ascii="游ゴシック" w:hAnsi="游ゴシック" w:eastAsia="游ゴシック"/>
                <w:b w:val="0"/>
                <w:i w:val="0"/>
                <w:sz w:val="17"/>
              </w:rPr>
              <w:t>老人居宅介護等事業、老人デイサービス事業、老人短期入所事業、小規模多機能型居宅介護事業、認知症対応型老人共同生活援助事業、複合型サービス福祉事業</w:t>
            </w:r>
          </w:p>
        </w:tc>
        <w:tc>
          <w:tcPr>
            <w:tcW w:type="dxa" w:w="3628"/>
            <w:vAlign w:val="center"/>
          </w:tcPr>
          <w:p>
            <w:pPr>
              <w:keepNext/>
              <w:spacing w:before="20" w:after="20"/>
            </w:pPr>
            <w:r>
              <w:rPr>
                <w:rFonts w:ascii="游ゴシック" w:hAnsi="游ゴシック" w:eastAsia="游ゴシック"/>
                <w:b/>
                <w:i w:val="0"/>
                <w:sz w:val="17"/>
              </w:rPr>
              <w:t>第6章2の見込量とほぼ重なる。</w:t>
            </w:r>
            <w:r>
              <w:rPr>
                <w:rFonts w:ascii="游ゴシック" w:hAnsi="游ゴシック" w:eastAsia="游ゴシック"/>
                <w:b w:val="0"/>
                <w:i w:val="0"/>
                <w:sz w:val="17"/>
              </w:rPr>
              <w:t>同じ数を老人福祉事業の量として掲げられる</w:t>
            </w:r>
          </w:p>
        </w:tc>
      </w:tr>
      <w:tr>
        <w:tc>
          <w:tcPr>
            <w:tcW w:type="dxa" w:w="1928"/>
            <w:vAlign w:val="center"/>
          </w:tcPr>
          <w:p>
            <w:pPr>
              <w:spacing w:before="20" w:after="20"/>
            </w:pPr>
            <w:r>
              <w:rPr>
                <w:rFonts w:ascii="游ゴシック" w:hAnsi="游ゴシック" w:eastAsia="游ゴシック"/>
                <w:b w:val="0"/>
                <w:i w:val="0"/>
                <w:sz w:val="17"/>
              </w:rPr>
              <w:t>老人福祉施設</w:t>
            </w:r>
          </w:p>
        </w:tc>
        <w:tc>
          <w:tcPr>
            <w:tcW w:type="dxa" w:w="4195"/>
            <w:vAlign w:val="center"/>
          </w:tcPr>
          <w:p>
            <w:pPr>
              <w:spacing w:before="20" w:after="20"/>
            </w:pPr>
            <w:r>
              <w:rPr>
                <w:rFonts w:ascii="游ゴシック" w:hAnsi="游ゴシック" w:eastAsia="游ゴシック"/>
                <w:b w:val="0"/>
                <w:i w:val="0"/>
                <w:sz w:val="17"/>
              </w:rPr>
              <w:t>老人デイサービスセンター、老人短期入所施設、</w:t>
            </w:r>
            <w:r>
              <w:rPr>
                <w:rFonts w:ascii="游ゴシック" w:hAnsi="游ゴシック" w:eastAsia="游ゴシック"/>
                <w:b/>
                <w:i w:val="0"/>
                <w:sz w:val="17"/>
              </w:rPr>
              <w:t>養護老人ホーム</w:t>
            </w:r>
            <w:r>
              <w:rPr>
                <w:rFonts w:ascii="游ゴシック" w:hAnsi="游ゴシック" w:eastAsia="游ゴシック"/>
                <w:b w:val="0"/>
                <w:i w:val="0"/>
                <w:sz w:val="17"/>
              </w:rPr>
              <w:t>、特別養護老人ホーム、</w:t>
            </w:r>
            <w:r>
              <w:rPr>
                <w:rFonts w:ascii="游ゴシック" w:hAnsi="游ゴシック" w:eastAsia="游ゴシック"/>
                <w:b/>
                <w:i w:val="0"/>
                <w:sz w:val="17"/>
              </w:rPr>
              <w:t>軽費老人ホーム</w:t>
            </w:r>
            <w:r>
              <w:rPr>
                <w:rFonts w:ascii="游ゴシック" w:hAnsi="游ゴシック" w:eastAsia="游ゴシック"/>
                <w:b w:val="0"/>
                <w:i w:val="0"/>
                <w:sz w:val="17"/>
              </w:rPr>
              <w:t>、</w:t>
            </w:r>
            <w:r>
              <w:rPr>
                <w:rFonts w:ascii="游ゴシック" w:hAnsi="游ゴシック" w:eastAsia="游ゴシック"/>
                <w:b/>
                <w:i w:val="0"/>
                <w:sz w:val="17"/>
              </w:rPr>
              <w:t>老人福祉センター</w:t>
            </w:r>
            <w:r>
              <w:rPr>
                <w:rFonts w:ascii="游ゴシック" w:hAnsi="游ゴシック" w:eastAsia="游ゴシック"/>
                <w:b w:val="0"/>
                <w:i w:val="0"/>
                <w:sz w:val="17"/>
              </w:rPr>
              <w:t>、老人介護支援センター</w:t>
            </w:r>
          </w:p>
        </w:tc>
        <w:tc>
          <w:tcPr>
            <w:tcW w:type="dxa" w:w="3628"/>
            <w:vAlign w:val="center"/>
          </w:tcPr>
          <w:p>
            <w:pPr>
              <w:spacing w:before="20" w:after="20"/>
            </w:pPr>
            <w:r>
              <w:rPr>
                <w:rFonts w:ascii="游ゴシック" w:hAnsi="游ゴシック" w:eastAsia="游ゴシック"/>
                <w:b/>
                <w:i w:val="0"/>
                <w:sz w:val="17"/>
              </w:rPr>
              <w:t>養護老人ホーム・軽費老人ホーム・老人福祉センターは介護保険の見込量にない。</w:t>
            </w:r>
            <w:r>
              <w:rPr>
                <w:rFonts w:ascii="游ゴシック" w:hAnsi="游ゴシック" w:eastAsia="游ゴシック"/>
                <w:b w:val="0"/>
                <w:i w:val="0"/>
                <w:sz w:val="17"/>
              </w:rPr>
              <w:t>別に量を置く必要がある</w:t>
            </w:r>
          </w:p>
        </w:tc>
      </w:tr>
    </w:tbl>
    <w:p>
      <w:pPr>
        <w:spacing w:after="40"/>
      </w:pPr>
    </w:p>
    <w:p>
      <w:pPr>
        <w:spacing w:before="60" w:after="60"/>
      </w:pPr>
      <w:r>
        <w:rPr>
          <w:rFonts w:ascii="游ゴシック" w:hAnsi="游ゴシック" w:eastAsia="游ゴシック"/>
          <w:b/>
          <w:i w:val="0"/>
          <w:sz w:val="21"/>
        </w:rPr>
        <w:t>したがって、第6章に節を1つ設け、介護保険の見込量から引ける分はそこから引き、養護老人ホーム・軽費老人ホーム・老人福祉センターの分を町に確かめて加える</w:t>
      </w:r>
      <w:r>
        <w:rPr>
          <w:rFonts w:ascii="游ゴシック" w:hAnsi="游ゴシック" w:eastAsia="游ゴシック"/>
          <w:b w:val="0"/>
          <w:i w:val="0"/>
          <w:sz w:val="21"/>
        </w:rPr>
        <w:t>のが筋です。</w:t>
      </w:r>
      <w:r>
        <w:rPr>
          <w:rFonts w:ascii="游ゴシック" w:hAnsi="游ゴシック" w:eastAsia="游ゴシック"/>
          <w:b/>
          <w:i w:val="0"/>
          <w:sz w:val="21"/>
        </w:rPr>
        <w:t>確認事項の一覧に加えます。</w:t>
      </w:r>
    </w:p>
    <w:p>
      <w:pPr>
        <w:pStyle w:val="Heading2"/>
        <w:keepNext/>
        <w:spacing w:before="180" w:after="100"/>
      </w:pPr>
      <w:bookmarkStart w:id="107" w:name="_Toc_007"/>
      <w:r>
        <w:rPr>
          <w:rFonts w:ascii="游ゴシック" w:hAnsi="游ゴシック" w:eastAsia="游ゴシック"/>
          <w:b/>
          <w:i w:val="0"/>
          <w:color w:val="2E74B5"/>
          <w:sz w:val="25"/>
        </w:rPr>
        <w:t>4-2　そのほか</w:t>
      </w:r>
      <w:bookmarkEnd w:id="107"/>
    </w:p>
    <w:p>
      <w:pPr>
        <w:spacing w:before="60" w:after="60"/>
      </w:pPr>
      <w:r>
        <w:rPr>
          <w:rFonts w:ascii="游ゴシック" w:hAnsi="游ゴシック" w:eastAsia="游ゴシック"/>
          <w:b/>
          <w:i w:val="0"/>
          <w:sz w:val="21"/>
        </w:rPr>
        <w:t>△は、節はあるが判定に用いた語が本文にない場合を含みます。</w:t>
      </w:r>
      <w:r>
        <w:rPr>
          <w:rFonts w:ascii="游ゴシック" w:hAnsi="游ゴシック" w:eastAsia="游ゴシック"/>
          <w:b w:val="0"/>
          <w:i w:val="0"/>
          <w:sz w:val="21"/>
        </w:rPr>
        <w:t xml:space="preserve"> 条文の文言をそのまま使っていないだけのこともあるため、</w:t>
      </w:r>
      <w:r>
        <w:rPr>
          <w:rFonts w:ascii="游ゴシック" w:hAnsi="游ゴシック" w:eastAsia="游ゴシック"/>
          <w:b/>
          <w:i w:val="0"/>
          <w:sz w:val="21"/>
        </w:rPr>
        <w:t>1件ずつ本文を見て確かめます。</w:t>
      </w:r>
    </w:p>
    <w:p>
      <w:pPr>
        <w:spacing w:before="40" w:after="160"/>
        <w:ind w:left="113"/>
      </w:pPr>
      <w:r>
        <w:rPr>
          <w:rFonts w:ascii="游ゴシック" w:hAnsi="游ゴシック" w:eastAsia="游ゴシック"/>
          <w:b w:val="0"/>
          <w:i w:val="0"/>
          <w:sz w:val="17"/>
        </w:rPr>
        <w:t>※ 条文は厚生労働省「社会福祉法等の一部を改正する法律案　新旧対照条文」（令和8年法律第51号・全353頁）による。</w:t>
      </w:r>
      <w:r>
        <w:rPr>
          <w:rFonts w:ascii="游ゴシック" w:hAnsi="游ゴシック" w:eastAsia="游ゴシック"/>
          <w:b/>
          <w:i w:val="0"/>
          <w:sz w:val="17"/>
        </w:rPr>
        <w:t>老人福祉法第20条の8は同資料において「（略）」であり、今回の改正の対象外であることを確認した。</w:t>
      </w:r>
      <w:r>
        <w:rPr>
          <w:rFonts w:ascii="游ゴシック" w:hAnsi="游ゴシック" w:eastAsia="游ゴシック"/>
          <w:b/>
          <w:i w:val="0"/>
          <w:sz w:val="17"/>
        </w:rPr>
        <w:t>介護保険法第117条の第5項以降の項番号は、改正により1つ繰り下がる。</w:t>
      </w:r>
      <w:r>
        <w:rPr>
          <w:rFonts w:ascii="游ゴシック" w:hAnsi="游ゴシック" w:eastAsia="游ゴシック"/>
          <w:b w:val="0"/>
          <w:i w:val="0"/>
          <w:sz w:val="17"/>
        </w:rPr>
        <w:t>本書は改正後の番号で書いている。</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法定記載事項チェック</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法定記載事項チェック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法定記載事項チェック</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