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20"/>
        <w:jc w:val="center"/>
      </w:pPr>
      <w:r>
        <w:rPr>
          <w:rFonts w:ascii="游ゴシック" w:hAnsi="游ゴシック" w:eastAsia="游ゴシック"/>
          <w:b/>
          <w:i w:val="0"/>
          <w:color w:val="2E74B5"/>
          <w:sz w:val="44"/>
        </w:rPr>
        <w:t>おのまち障がい者計画・第4期障がい児福祉計画・第8期障がい福祉計画</w:t>
      </w:r>
    </w:p>
    <w:p>
      <w:pPr>
        <w:spacing w:after="120"/>
        <w:jc w:val="center"/>
      </w:pPr>
      <w:r>
        <w:rPr>
          <w:rFonts w:ascii="游ゴシック" w:hAnsi="游ゴシック" w:eastAsia="游ゴシック"/>
          <w:b w:val="0"/>
          <w:i w:val="0"/>
          <w:sz w:val="26"/>
        </w:rPr>
        <w:t>他メンバー作成の計画素案の論点漏れの点検</w:t>
      </w:r>
    </w:p>
    <w:p>
      <w:pPr>
        <w:spacing w:after="120"/>
        <w:jc w:val="center"/>
      </w:pPr>
      <w:r>
        <w:rPr>
          <w:rFonts w:ascii="游ゴシック" w:hAnsi="游ゴシック" w:eastAsia="游ゴシック"/>
          <w:b w:val="0"/>
          <w:i w:val="0"/>
          <w:sz w:val="26"/>
        </w:rPr>
        <w:t>令和8年10月20日</w:t>
      </w:r>
    </w:p>
    <w:p>
      <w:pPr>
        <w:spacing w:after="120"/>
        <w:jc w:val="center"/>
      </w:pPr>
      <w:r>
        <w:rPr>
          <w:rFonts w:ascii="游ゴシック" w:hAnsi="游ゴシック" w:eastAsia="游ゴシック"/>
          <w:b w:val="0"/>
          <w:i w:val="0"/>
          <w:sz w:val="26"/>
        </w:rPr>
        <w:t>ビズアップ公共コンサルティング株式会社</w:t>
      </w:r>
    </w:p>
    <w:p>
      <w:r>
        <w:br w:type="page"/>
      </w:r>
    </w:p>
    <w:p>
      <w:pPr>
        <w:spacing w:after="280"/>
        <w:jc w:val="center"/>
      </w:pPr>
      <w:r>
        <w:rPr>
          <w:rFonts w:ascii="游ゴシック" w:hAnsi="游ゴシック" w:eastAsia="游ゴシック"/>
          <w:b/>
          <w:i w:val="0"/>
          <w:color w:val="2E74B5"/>
          <w:sz w:val="30"/>
        </w:rPr>
        <w:t>目　次</w:t>
      </w:r>
    </w:p>
    <w:p>
      <w:pPr>
        <w:spacing w:after="200"/>
        <w:jc w:val="center"/>
      </w:pPr>
      <w:r>
        <w:rPr>
          <w:rFonts w:ascii="游ゴシック" w:hAnsi="游ゴシック" w:eastAsia="游ゴシック"/>
          <w:b w:val="0"/>
          <w:i w:val="0"/>
          <w:sz w:val="18"/>
        </w:rPr>
        <w:t>各行をクリックすると本文へ移動します。ページ番号はWordで開いた時点で更新されます</w:t>
      </w:r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1">
        <w:r>
          <w:rPr>
            <w:rFonts w:ascii="游ゴシック" w:hAnsi="游ゴシック" w:eastAsia="游ゴシック"/>
            <w:b/>
            <w:sz w:val="22"/>
          </w:rPr>
          <w:t xml:space="preserve">1　本書の位置づけ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_Toc_001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2">
        <w:r>
          <w:rPr>
            <w:rFonts w:ascii="游ゴシック" w:hAnsi="游ゴシック" w:eastAsia="游ゴシック"/>
            <w:b/>
            <w:sz w:val="22"/>
          </w:rPr>
          <w:t xml:space="preserve">2　漏れ・誤り・一部（対応が要るもの）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_Toc_002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3">
        <w:r>
          <w:rPr>
            <w:rFonts w:ascii="游ゴシック" w:hAnsi="游ゴシック" w:eastAsia="游ゴシック"/>
            <w:b/>
            <w:sz w:val="22"/>
          </w:rPr>
          <w:t xml:space="preserve">3　充足を確かめたもの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_Toc_003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4">
        <w:r>
          <w:rPr>
            <w:rFonts w:ascii="游ゴシック" w:hAnsi="游ゴシック" w:eastAsia="游ゴシック"/>
            <w:b/>
            <w:sz w:val="22"/>
          </w:rPr>
          <w:t xml:space="preserve">4　「医療的ケア者」の扱い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_Toc_004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5">
        <w:r>
          <w:rPr>
            <w:rFonts w:ascii="游ゴシック" w:hAnsi="游ゴシック" w:eastAsia="游ゴシック"/>
            <w:b/>
            <w:sz w:val="22"/>
          </w:rPr>
          <w:t xml:space="preserve">5　対応表への反映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_Toc_005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6">
        <w:r>
          <w:rPr>
            <w:rFonts w:ascii="游ゴシック" w:hAnsi="游ゴシック" w:eastAsia="游ゴシック"/>
            <w:b/>
            <w:sz w:val="22"/>
          </w:rPr>
          <w:t xml:space="preserve">6　原典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_Toc_006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sectPr>
          <w:headerReference w:type="default" r:id="rId9"/>
          <w:footerReference w:type="default" r:id="rId10"/>
          <w:pgSz w:w="11906" w:h="16838"/>
          <w:pgMar w:top="1134" w:right="1077" w:bottom="1134" w:left="1077" w:header="709" w:footer="709" w:gutter="0"/>
          <w:cols w:space="720"/>
          <w:docGrid w:linePitch="360"/>
        </w:sectPr>
      </w:pPr>
    </w:p>
    <w:p>
      <w:pPr>
        <w:pStyle w:val="Heading1"/>
        <w:keepNext/>
        <w:spacing w:before="240" w:after="100"/>
      </w:pPr>
      <w:bookmarkStart w:id="101" w:name="_Toc_001"/>
      <w:r>
        <w:rPr>
          <w:rFonts w:ascii="游ゴシック" w:hAnsi="游ゴシック" w:eastAsia="游ゴシック"/>
          <w:b/>
          <w:i w:val="0"/>
          <w:color w:val="2E74B5"/>
          <w:sz w:val="30"/>
        </w:rPr>
        <w:t>1　本書の位置づけ</w:t>
      </w:r>
      <w:bookmarkEnd w:id="101"/>
    </w:p>
    <w:p>
      <w:pPr>
        <w:spacing w:before="60" w:after="60"/>
      </w:pPr>
      <w:r>
        <w:rPr>
          <w:rFonts w:ascii="游ゴシック" w:hAnsi="游ゴシック" w:eastAsia="游ゴシック"/>
          <w:b w:val="0"/>
          <w:i w:val="0"/>
          <w:sz w:val="21"/>
        </w:rPr>
        <w:t>他メンバー作成の計画素案（以下「他素案」）に当方の内容を足す前に、</w:t>
      </w:r>
      <w:r>
        <w:rPr>
          <w:rFonts w:ascii="游ゴシック" w:hAnsi="游ゴシック" w:eastAsia="游ゴシック"/>
          <w:b/>
          <w:i w:val="0"/>
          <w:sz w:val="21"/>
        </w:rPr>
        <w:t>ほかに漏れている論点がないか</w:t>
      </w:r>
      <w:r>
        <w:rPr>
          <w:rFonts w:ascii="游ゴシック" w:hAnsi="游ゴシック" w:eastAsia="游ゴシック"/>
          <w:b w:val="0"/>
          <w:i w:val="0"/>
          <w:sz w:val="21"/>
        </w:rPr>
        <w:t>を確かめたものです。</w:t>
      </w:r>
    </w:p>
    <w:p>
      <w:pPr>
        <w:spacing w:before="60" w:after="60"/>
      </w:pPr>
      <w:r>
        <w:rPr>
          <w:rFonts w:ascii="游ゴシック" w:hAnsi="游ゴシック" w:eastAsia="游ゴシック"/>
          <w:b w:val="0"/>
          <w:i w:val="0"/>
          <w:sz w:val="21"/>
        </w:rPr>
        <w:t>当社の他団体の案件で、同じく他メンバー版を正本として国の告示・改正案・通知に当てて網羅性を点検した蓄積があります。</w:t>
      </w:r>
      <w:r>
        <w:rPr>
          <w:rFonts w:ascii="游ゴシック" w:hAnsi="游ゴシック" w:eastAsia="游ゴシック"/>
          <w:b/>
          <w:i w:val="0"/>
          <w:sz w:val="21"/>
        </w:rPr>
        <w:t>その点検の観点だけを借りました。</w:t>
      </w:r>
      <w:r>
        <w:rPr>
          <w:rFonts w:ascii="游ゴシック" w:hAnsi="游ゴシック" w:eastAsia="游ゴシック"/>
          <w:b w:val="0"/>
          <w:i w:val="0"/>
          <w:sz w:val="21"/>
        </w:rPr>
        <w:t xml:space="preserve"> 当該団体の計画・データ・団体名は、本書にも成果品にも用いていません。</w:t>
      </w: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観点の根拠は国・県の公表資料で確かめ、該当の文言が原典に実在することを生成のたびに照合しています。</w:t>
      </w:r>
      <w:r>
        <w:rPr>
          <w:rFonts w:ascii="游ゴシック" w:hAnsi="游ゴシック" w:eastAsia="游ゴシック"/>
          <w:b w:val="0"/>
          <w:i w:val="0"/>
          <w:sz w:val="21"/>
        </w:rPr>
        <w:t xml:space="preserve"> 他素案での語の出現は、本文と表から機械で数えたものです。</w:t>
      </w:r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【表1】判定の区分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1020"/>
        <w:gridCol w:w="7143"/>
        <w:gridCol w:w="1587"/>
      </w:tblGrid>
      <w:tr>
        <w:tc>
          <w:tcPr>
            <w:tcW w:type="dxa" w:w="1020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判定</w:t>
            </w:r>
          </w:p>
        </w:tc>
        <w:tc>
          <w:tcPr>
            <w:tcW w:type="dxa" w:w="7143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意味</w:t>
            </w:r>
          </w:p>
        </w:tc>
        <w:tc>
          <w:tcPr>
            <w:tcW w:type="dxa" w:w="1587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件数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漏れ</w:t>
            </w:r>
          </w:p>
        </w:tc>
        <w:tc>
          <w:tcPr>
            <w:tcW w:type="dxa" w:w="714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他素案に該当の記述がない</w:t>
            </w:r>
          </w:p>
        </w:tc>
        <w:tc>
          <w:tcPr>
            <w:tcW w:type="dxa" w:w="158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7件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誤り</w:t>
            </w:r>
          </w:p>
        </w:tc>
        <w:tc>
          <w:tcPr>
            <w:tcW w:type="dxa" w:w="714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原典と食い違う記述がある</w:t>
            </w:r>
          </w:p>
        </w:tc>
        <w:tc>
          <w:tcPr>
            <w:tcW w:type="dxa" w:w="158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1件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一部</w:t>
            </w:r>
          </w:p>
        </w:tc>
        <w:tc>
          <w:tcPr>
            <w:tcW w:type="dxa" w:w="714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記述はあるが、原典が求める形になっていない</w:t>
            </w:r>
          </w:p>
        </w:tc>
        <w:tc>
          <w:tcPr>
            <w:tcW w:type="dxa" w:w="158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3件</w:t>
            </w:r>
          </w:p>
        </w:tc>
      </w:tr>
      <w:tr>
        <w:tc>
          <w:tcPr>
            <w:tcW w:type="dxa" w:w="1020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充足</w:t>
            </w:r>
          </w:p>
        </w:tc>
        <w:tc>
          <w:tcPr>
            <w:tcW w:type="dxa" w:w="7143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原典が求める記述がある（確かめたもの）</w:t>
            </w:r>
          </w:p>
        </w:tc>
        <w:tc>
          <w:tcPr>
            <w:tcW w:type="dxa" w:w="1587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14件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計</w:t>
            </w:r>
          </w:p>
        </w:tc>
        <w:tc>
          <w:tcPr>
            <w:tcW w:type="dxa" w:w="714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  <w:tc>
          <w:tcPr>
            <w:tcW w:type="dxa" w:w="158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25件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240" w:after="100"/>
      </w:pPr>
      <w:bookmarkStart w:id="102" w:name="_Toc_002"/>
      <w:r>
        <w:rPr>
          <w:rFonts w:ascii="游ゴシック" w:hAnsi="游ゴシック" w:eastAsia="游ゴシック"/>
          <w:b/>
          <w:i w:val="0"/>
          <w:color w:val="2E74B5"/>
          <w:sz w:val="30"/>
        </w:rPr>
        <w:t>2　漏れ・誤り・一部（対応が要るもの）</w:t>
      </w:r>
      <w:bookmarkEnd w:id="102"/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優先「高」の4件は、告示が「ものとする」とする見込量の定め方（R1・R2）、見込量の算定方法が変わりうる別表第五の判定（R3）、成果目標の置き方の誤り（R4）です。</w:t>
      </w:r>
      <w:r>
        <w:rPr>
          <w:rFonts w:ascii="游ゴシック" w:hAnsi="游ゴシック" w:eastAsia="游ゴシック"/>
          <w:b w:val="0"/>
          <w:i w:val="0"/>
          <w:sz w:val="21"/>
        </w:rPr>
        <w:t xml:space="preserve"> いずれも他素案・当方素案のどちらにも入っていません（R4は他素案のみ）。</w:t>
      </w:r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【表2】対応が要る論点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510"/>
        <w:gridCol w:w="2268"/>
        <w:gridCol w:w="1587"/>
        <w:gridCol w:w="567"/>
        <w:gridCol w:w="3458"/>
        <w:gridCol w:w="737"/>
        <w:gridCol w:w="624"/>
      </w:tblGrid>
      <w:tr>
        <w:tc>
          <w:tcPr>
            <w:tcW w:type="dxa" w:w="510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№</w:t>
            </w:r>
          </w:p>
        </w:tc>
        <w:tc>
          <w:tcPr>
            <w:tcW w:type="dxa" w:w="226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論点</w:t>
            </w:r>
          </w:p>
        </w:tc>
        <w:tc>
          <w:tcPr>
            <w:tcW w:type="dxa" w:w="1587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根拠</w:t>
            </w:r>
          </w:p>
        </w:tc>
        <w:tc>
          <w:tcPr>
            <w:tcW w:type="dxa" w:w="567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判定</w:t>
            </w:r>
          </w:p>
        </w:tc>
        <w:tc>
          <w:tcPr>
            <w:tcW w:type="dxa" w:w="345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他素案の現状と対応</w:t>
            </w:r>
          </w:p>
        </w:tc>
        <w:tc>
          <w:tcPr>
            <w:tcW w:type="dxa" w:w="737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他素案の出現</w:t>
            </w:r>
          </w:p>
        </w:tc>
        <w:tc>
          <w:tcPr>
            <w:tcW w:type="dxa" w:w="62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優先</w:t>
            </w:r>
          </w:p>
        </w:tc>
      </w:tr>
      <w:tr>
        <w:tc>
          <w:tcPr>
            <w:tcW w:type="dxa" w:w="51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R1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生活介護・就労継続支援Ｂ型・施設入所支援の見込量は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継続入所者の数を除いて設定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する</w:t>
            </w:r>
          </w:p>
        </w:tc>
        <w:tc>
          <w:tcPr>
            <w:tcW w:type="dxa" w:w="158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告示 第三の二の2（一）（「ものとする」）</w:t>
            </w:r>
          </w:p>
        </w:tc>
        <w:tc>
          <w:tcPr>
            <w:tcW w:type="dxa" w:w="5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漏れ</w:t>
            </w:r>
          </w:p>
        </w:tc>
        <w:tc>
          <w:tcPr>
            <w:tcW w:type="dxa" w:w="345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見込量の定め方（第3部第6章冒頭）に記述がない。継続入所者は旧指定知的障害児施設等から引き続き入所している18歳以上の方。本町は0人の見込みでも、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除いたこと（該当なし）を1行書く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0件</w:t>
            </w:r>
          </w:p>
        </w:tc>
        <w:tc>
          <w:tcPr>
            <w:tcW w:type="dxa" w:w="62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高</w:t>
            </w:r>
          </w:p>
        </w:tc>
      </w:tr>
      <w:tr>
        <w:tc>
          <w:tcPr>
            <w:tcW w:type="dxa" w:w="51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R2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障がい児通所支援等の見込量は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保育所等における障がい児の受入れ体制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を踏まえて設定する</w:t>
            </w:r>
          </w:p>
        </w:tc>
        <w:tc>
          <w:tcPr>
            <w:tcW w:type="dxa" w:w="158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告示 第三の二の2（一）（「ものとする」）</w:t>
            </w:r>
          </w:p>
        </w:tc>
        <w:tc>
          <w:tcPr>
            <w:tcW w:type="dxa" w:w="5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漏れ</w:t>
            </w:r>
          </w:p>
        </w:tc>
        <w:tc>
          <w:tcPr>
            <w:tcW w:type="dxa" w:w="345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第3部第7章の見込量の考え方に記述がない。保育所・認定こども園での受入れが広がれば通所支援の量は減り、狭まれば増える。町の保育部局に受入れの状況を確かめて1段落置く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0件</w:t>
            </w:r>
          </w:p>
        </w:tc>
        <w:tc>
          <w:tcPr>
            <w:tcW w:type="dxa" w:w="62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高</w:t>
            </w:r>
          </w:p>
        </w:tc>
      </w:tr>
      <w:tr>
        <w:tc>
          <w:tcPr>
            <w:tcW w:type="dxa" w:w="51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R3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別表第五（地域差の是正）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の適用判定</w:t>
            </w:r>
          </w:p>
        </w:tc>
        <w:tc>
          <w:tcPr>
            <w:tcW w:type="dxa" w:w="158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告示 第三の二の2（一）・別表第五</w:t>
            </w:r>
          </w:p>
        </w:tc>
        <w:tc>
          <w:tcPr>
            <w:tcW w:type="dxa" w:w="5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漏れ</w:t>
            </w:r>
          </w:p>
        </w:tc>
        <w:tc>
          <w:tcPr>
            <w:tcW w:type="dxa" w:w="345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記述がない。全部過疎の市町村は対象外。一部過疎等で、利用者割合が上位25％のサービスは算定方法が定まる（生活介護・就労継続Ａ型・Ｂ型・児童発達支援・放課後等デイサービス・共同生活援助）。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本町の過疎区分（全部か一部か）を確かめ、該当・非該当のいずれでも判定を1行書く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0件</w:t>
            </w:r>
          </w:p>
        </w:tc>
        <w:tc>
          <w:tcPr>
            <w:tcW w:type="dxa" w:w="62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高</w:t>
            </w:r>
          </w:p>
        </w:tc>
      </w:tr>
      <w:tr>
        <w:tc>
          <w:tcPr>
            <w:tcW w:type="dxa" w:w="51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R4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情報公表制度の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公表率・更新率100％は都道府県・政令市・中核市の目標</w:t>
            </w:r>
          </w:p>
        </w:tc>
        <w:tc>
          <w:tcPr>
            <w:tcW w:type="dxa" w:w="158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告示 第二の八</w:t>
            </w:r>
          </w:p>
        </w:tc>
        <w:tc>
          <w:tcPr>
            <w:tcW w:type="dxa" w:w="5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誤り</w:t>
            </w:r>
          </w:p>
        </w:tc>
        <w:tc>
          <w:tcPr>
            <w:tcW w:type="dxa" w:w="345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他素案は第3部第5章8で「【目標値】令和11年度の公表率・更新率100％」を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町の目標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として置いている。町は指定権者でない。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町の成果目標からは外し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、県の目標を参考として掲げ、町は事業所への周知・働きかけを活動として書く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8件</w:t>
            </w:r>
          </w:p>
        </w:tc>
        <w:tc>
          <w:tcPr>
            <w:tcW w:type="dxa" w:w="62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高</w:t>
            </w:r>
          </w:p>
        </w:tc>
      </w:tr>
      <w:tr>
        <w:tc>
          <w:tcPr>
            <w:tcW w:type="dxa" w:w="51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R5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意思決定支援ガイドライン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（第2版）の活用</w:t>
            </w:r>
          </w:p>
        </w:tc>
        <w:tc>
          <w:tcPr>
            <w:tcW w:type="dxa" w:w="158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告示 第二の八（研修）ほか／ガイドライン第2版</w:t>
            </w:r>
          </w:p>
        </w:tc>
        <w:tc>
          <w:tcPr>
            <w:tcW w:type="dxa" w:w="5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一部</w:t>
            </w:r>
          </w:p>
        </w:tc>
        <w:tc>
          <w:tcPr>
            <w:tcW w:type="dxa" w:w="345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他素案は意思決定支援の節（第2部第7章1）を置くが、ガイドラインに触れていない。第2版（意思形成・意思表明・意思実現）を名指しし、相談支援専門員等が県の研修を受ける旨を書く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5件</w:t>
            </w:r>
          </w:p>
        </w:tc>
        <w:tc>
          <w:tcPr>
            <w:tcW w:type="dxa" w:w="62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中</w:t>
            </w:r>
          </w:p>
        </w:tc>
      </w:tr>
      <w:tr>
        <w:tc>
          <w:tcPr>
            <w:tcW w:type="dxa" w:w="51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R6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重度障がい者の内数を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サービスごと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（生活介護・短期入所・共同生活援助）に見込む</w:t>
            </w:r>
          </w:p>
        </w:tc>
        <w:tc>
          <w:tcPr>
            <w:tcW w:type="dxa" w:w="158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告示 別表第一（努力）</w:t>
            </w:r>
          </w:p>
        </w:tc>
        <w:tc>
          <w:tcPr>
            <w:tcW w:type="dxa" w:w="5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一部</w:t>
            </w:r>
          </w:p>
        </w:tc>
        <w:tc>
          <w:tcPr>
            <w:tcW w:type="dxa" w:w="345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他素案は第3部第6章冒頭に区分ごとの人数の表を置くが、告示はサービスごとの利用者数の内数として見込むことを求めている。人数が把握できた段階で各サービスの表に内数の行を足す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5件</w:t>
            </w:r>
          </w:p>
        </w:tc>
        <w:tc>
          <w:tcPr>
            <w:tcW w:type="dxa" w:w="62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中</w:t>
            </w:r>
          </w:p>
        </w:tc>
      </w:tr>
      <w:tr>
        <w:tc>
          <w:tcPr>
            <w:tcW w:type="dxa" w:w="51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R7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医療的ケア児等支援地域協議会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（県が設置）と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学齢期から成人期への引継ぎの協議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、医療的ケア児支援センターの改称</w:t>
            </w:r>
          </w:p>
        </w:tc>
        <w:tc>
          <w:tcPr>
            <w:tcW w:type="dxa" w:w="158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改正案21（医療的ケア児支援法の改正に伴う基本指針の改正案）</w:t>
            </w:r>
          </w:p>
        </w:tc>
        <w:tc>
          <w:tcPr>
            <w:tcW w:type="dxa" w:w="5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漏れ</w:t>
            </w:r>
          </w:p>
        </w:tc>
        <w:tc>
          <w:tcPr>
            <w:tcW w:type="dxa" w:w="345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他素案は町の協議の場とコーディネーターを書くが、県が設ける地域協議会との関係、成人期への引継ぎを協議すること、センターが「医療的ケア児等支援センター」に改まることがない。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改正案であり、告示後に最終照合する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0件</w:t>
            </w:r>
          </w:p>
        </w:tc>
        <w:tc>
          <w:tcPr>
            <w:tcW w:type="dxa" w:w="62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中</w:t>
            </w:r>
          </w:p>
        </w:tc>
      </w:tr>
      <w:tr>
        <w:tc>
          <w:tcPr>
            <w:tcW w:type="dxa" w:w="51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R8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実態調査及びPDCAマニュアル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（令和8年8月改定）を進行管理の拠り所にする</w:t>
            </w:r>
          </w:p>
        </w:tc>
        <w:tc>
          <w:tcPr>
            <w:tcW w:type="dxa" w:w="158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厚生労働省・こども家庭庁マニュアル／福島県通知（令和8年8月24日）</w:t>
            </w:r>
          </w:p>
        </w:tc>
        <w:tc>
          <w:tcPr>
            <w:tcW w:type="dxa" w:w="5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漏れ</w:t>
            </w:r>
          </w:p>
        </w:tc>
        <w:tc>
          <w:tcPr>
            <w:tcW w:type="dxa" w:w="345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他素案の第1部第2章（年次の点検評価）は独自に点検項目を立てているが、国のマニュアルと県の通知に触れていない。根拠として1行置く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0件</w:t>
            </w:r>
          </w:p>
        </w:tc>
        <w:tc>
          <w:tcPr>
            <w:tcW w:type="dxa" w:w="62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中</w:t>
            </w:r>
          </w:p>
        </w:tc>
      </w:tr>
      <w:tr>
        <w:tc>
          <w:tcPr>
            <w:tcW w:type="dxa" w:w="51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R9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就労移行支援の見込量の勘案事項に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復職を希望する休職者等</w:t>
            </w:r>
          </w:p>
        </w:tc>
        <w:tc>
          <w:tcPr>
            <w:tcW w:type="dxa" w:w="158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告示 別表第一（就労移行支援）</w:t>
            </w:r>
          </w:p>
        </w:tc>
        <w:tc>
          <w:tcPr>
            <w:tcW w:type="dxa" w:w="5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漏れ</w:t>
            </w:r>
          </w:p>
        </w:tc>
        <w:tc>
          <w:tcPr>
            <w:tcW w:type="dxa" w:w="345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第3部第6章2（就労移行支援）の見込量の考え方に一言足す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0件</w:t>
            </w:r>
          </w:p>
        </w:tc>
        <w:tc>
          <w:tcPr>
            <w:tcW w:type="dxa" w:w="62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低</w:t>
            </w:r>
          </w:p>
        </w:tc>
      </w:tr>
      <w:tr>
        <w:tc>
          <w:tcPr>
            <w:tcW w:type="dxa" w:w="510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R10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民法等の一部を改正する法律の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法律番号（令和8年法律第45号）</w:t>
            </w:r>
          </w:p>
        </w:tc>
        <w:tc>
          <w:tcPr>
            <w:tcW w:type="dxa" w:w="1587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法務省資料</w:t>
            </w:r>
          </w:p>
        </w:tc>
        <w:tc>
          <w:tcPr>
            <w:tcW w:type="dxa" w:w="567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一部</w:t>
            </w:r>
          </w:p>
        </w:tc>
        <w:tc>
          <w:tcPr>
            <w:tcW w:type="dxa" w:w="3458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他素案は法律名のみ。第1部第1章1と第2部第2章3に番号を補う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3件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低</w:t>
            </w:r>
          </w:p>
        </w:tc>
      </w:tr>
      <w:tr>
        <w:tc>
          <w:tcPr>
            <w:tcW w:type="dxa" w:w="51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R11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他素案の図（6点）の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色覚・白黒印刷への配慮</w:t>
            </w:r>
          </w:p>
        </w:tc>
        <w:tc>
          <w:tcPr>
            <w:tcW w:type="dxa" w:w="158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当方の点検の観点（原典照合なし）</w:t>
            </w:r>
          </w:p>
        </w:tc>
        <w:tc>
          <w:tcPr>
            <w:tcW w:type="dxa" w:w="5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漏れ</w:t>
            </w:r>
          </w:p>
        </w:tc>
        <w:tc>
          <w:tcPr>
            <w:tcW w:type="dxa" w:w="345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当方の図は色覚の模擬で点検しているが、他素案の図は未点検。反映後に同じ点検をかける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0件</w:t>
            </w:r>
          </w:p>
        </w:tc>
        <w:tc>
          <w:tcPr>
            <w:tcW w:type="dxa" w:w="62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低</w:t>
            </w:r>
          </w:p>
        </w:tc>
      </w:tr>
    </w:tbl>
    <w:p>
      <w:pPr>
        <w:spacing w:after="40"/>
      </w:pPr>
    </w:p>
    <w:p>
      <w:pPr>
        <w:spacing w:before="40" w:after="160"/>
        <w:ind w:left="113"/>
      </w:pPr>
      <w:r>
        <w:rPr>
          <w:rFonts w:ascii="游ゴシック" w:hAnsi="游ゴシック" w:eastAsia="游ゴシック"/>
          <w:b w:val="0"/>
          <w:i w:val="0"/>
          <w:sz w:val="17"/>
        </w:rPr>
        <w:t>他素案の出現＝判定語の出現回数（他素案の本文と表）。R11は原典照合のない当方の点検の観点。</w:t>
      </w:r>
    </w:p>
    <w:p>
      <w:pPr>
        <w:pStyle w:val="Heading1"/>
        <w:keepNext/>
        <w:spacing w:before="240" w:after="100"/>
      </w:pPr>
      <w:bookmarkStart w:id="103" w:name="_Toc_003"/>
      <w:r>
        <w:rPr>
          <w:rFonts w:ascii="游ゴシック" w:hAnsi="游ゴシック" w:eastAsia="游ゴシック"/>
          <w:b/>
          <w:i w:val="0"/>
          <w:color w:val="2E74B5"/>
          <w:sz w:val="30"/>
        </w:rPr>
        <w:t>3　充足を確かめたもの</w:t>
      </w:r>
      <w:bookmarkEnd w:id="103"/>
    </w:p>
    <w:p>
      <w:pPr>
        <w:spacing w:before="60" w:after="60"/>
      </w:pPr>
      <w:r>
        <w:rPr>
          <w:rFonts w:ascii="游ゴシック" w:hAnsi="游ゴシック" w:eastAsia="游ゴシック"/>
          <w:b w:val="0"/>
          <w:i w:val="0"/>
          <w:sz w:val="21"/>
        </w:rPr>
        <w:t>次の14件は、他素案に原典が求める記述があることを確かめました。他素案は基本指針の構成に沿ってよく書き込まれています。</w:t>
      </w:r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【表3】充足を確かめた論点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510"/>
        <w:gridCol w:w="3515"/>
        <w:gridCol w:w="2041"/>
        <w:gridCol w:w="2721"/>
        <w:gridCol w:w="964"/>
      </w:tblGrid>
      <w:tr>
        <w:tc>
          <w:tcPr>
            <w:tcW w:type="dxa" w:w="510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№</w:t>
            </w:r>
          </w:p>
        </w:tc>
        <w:tc>
          <w:tcPr>
            <w:tcW w:type="dxa" w:w="3515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論点</w:t>
            </w:r>
          </w:p>
        </w:tc>
        <w:tc>
          <w:tcPr>
            <w:tcW w:type="dxa" w:w="204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根拠</w:t>
            </w:r>
          </w:p>
        </w:tc>
        <w:tc>
          <w:tcPr>
            <w:tcW w:type="dxa" w:w="272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他素案の箇所</w:t>
            </w:r>
          </w:p>
        </w:tc>
        <w:tc>
          <w:tcPr>
            <w:tcW w:type="dxa" w:w="96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出現</w:t>
            </w:r>
          </w:p>
        </w:tc>
      </w:tr>
      <w:tr>
        <w:tc>
          <w:tcPr>
            <w:tcW w:type="dxa" w:w="51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C1</w:t>
            </w:r>
          </w:p>
        </w:tc>
        <w:tc>
          <w:tcPr>
            <w:tcW w:type="dxa" w:w="351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一般就労移行の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事業種別の目標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（就労移行1.14倍・Ａ型1.52倍・Ｂ型1.67倍）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告示 第二の三</w:t>
            </w:r>
          </w:p>
        </w:tc>
        <w:tc>
          <w:tcPr>
            <w:tcW w:type="dxa" w:w="272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第3部第5章3</w:t>
            </w:r>
          </w:p>
        </w:tc>
        <w:tc>
          <w:tcPr>
            <w:tcW w:type="dxa" w:w="96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3件</w:t>
            </w:r>
          </w:p>
        </w:tc>
      </w:tr>
      <w:tr>
        <w:tc>
          <w:tcPr>
            <w:tcW w:type="dxa" w:w="51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C2</w:t>
            </w:r>
          </w:p>
        </w:tc>
        <w:tc>
          <w:tcPr>
            <w:tcW w:type="dxa" w:w="351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長期入院患者の地域生活移行に伴う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基盤整備量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告示 別表第二 三（一）⑤</w:t>
            </w:r>
          </w:p>
        </w:tc>
        <w:tc>
          <w:tcPr>
            <w:tcW w:type="dxa" w:w="272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第3部第5章2（県の算定値待ちと明記）</w:t>
            </w:r>
          </w:p>
        </w:tc>
        <w:tc>
          <w:tcPr>
            <w:tcW w:type="dxa" w:w="96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5件</w:t>
            </w:r>
          </w:p>
        </w:tc>
      </w:tr>
      <w:tr>
        <w:tc>
          <w:tcPr>
            <w:tcW w:type="dxa" w:w="51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C3</w:t>
            </w:r>
          </w:p>
        </w:tc>
        <w:tc>
          <w:tcPr>
            <w:tcW w:type="dxa" w:w="351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意見申出制度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の活用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告示 第三</w:t>
            </w:r>
          </w:p>
        </w:tc>
        <w:tc>
          <w:tcPr>
            <w:tcW w:type="dxa" w:w="272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第3部第6章5（5）</w:t>
            </w:r>
          </w:p>
        </w:tc>
        <w:tc>
          <w:tcPr>
            <w:tcW w:type="dxa" w:w="96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3件</w:t>
            </w:r>
          </w:p>
        </w:tc>
      </w:tr>
      <w:tr>
        <w:tc>
          <w:tcPr>
            <w:tcW w:type="dxa" w:w="51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C4</w:t>
            </w:r>
          </w:p>
        </w:tc>
        <w:tc>
          <w:tcPr>
            <w:tcW w:type="dxa" w:w="351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年齢到達（18歳・65歳）による移行の整理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告示 第三の二の2</w:t>
            </w:r>
          </w:p>
        </w:tc>
        <w:tc>
          <w:tcPr>
            <w:tcW w:type="dxa" w:w="272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第3部第9章1</w:t>
            </w:r>
          </w:p>
        </w:tc>
        <w:tc>
          <w:tcPr>
            <w:tcW w:type="dxa" w:w="96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11件</w:t>
            </w:r>
          </w:p>
        </w:tc>
      </w:tr>
      <w:tr>
        <w:tc>
          <w:tcPr>
            <w:tcW w:type="dxa" w:w="51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C5</w:t>
            </w:r>
          </w:p>
        </w:tc>
        <w:tc>
          <w:tcPr>
            <w:tcW w:type="dxa" w:w="351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地域生活支援事業の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実施に必要な事項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告示 別表第二 四</w:t>
            </w:r>
          </w:p>
        </w:tc>
        <w:tc>
          <w:tcPr>
            <w:tcW w:type="dxa" w:w="272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第3部第8章（12）</w:t>
            </w:r>
          </w:p>
        </w:tc>
        <w:tc>
          <w:tcPr>
            <w:tcW w:type="dxa" w:w="96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1件</w:t>
            </w:r>
          </w:p>
        </w:tc>
      </w:tr>
      <w:tr>
        <w:tc>
          <w:tcPr>
            <w:tcW w:type="dxa" w:w="51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C6</w:t>
            </w:r>
          </w:p>
        </w:tc>
        <w:tc>
          <w:tcPr>
            <w:tcW w:type="dxa" w:w="351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就労関係の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関係機関との連携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告示 別表第二 五</w:t>
            </w:r>
          </w:p>
        </w:tc>
        <w:tc>
          <w:tcPr>
            <w:tcW w:type="dxa" w:w="272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第3部第9章2</w:t>
            </w:r>
          </w:p>
        </w:tc>
        <w:tc>
          <w:tcPr>
            <w:tcW w:type="dxa" w:w="96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5件</w:t>
            </w:r>
          </w:p>
        </w:tc>
      </w:tr>
      <w:tr>
        <w:tc>
          <w:tcPr>
            <w:tcW w:type="dxa" w:w="51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C7</w:t>
            </w:r>
          </w:p>
        </w:tc>
        <w:tc>
          <w:tcPr>
            <w:tcW w:type="dxa" w:w="351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地域生活支援拠点等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の機能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告示 第二の五</w:t>
            </w:r>
          </w:p>
        </w:tc>
        <w:tc>
          <w:tcPr>
            <w:tcW w:type="dxa" w:w="272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第3部第5章5（3）</w:t>
            </w:r>
          </w:p>
        </w:tc>
        <w:tc>
          <w:tcPr>
            <w:tcW w:type="dxa" w:w="96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16件</w:t>
            </w:r>
          </w:p>
        </w:tc>
      </w:tr>
      <w:tr>
        <w:tc>
          <w:tcPr>
            <w:tcW w:type="dxa" w:w="51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C8</w:t>
            </w:r>
          </w:p>
        </w:tc>
        <w:tc>
          <w:tcPr>
            <w:tcW w:type="dxa" w:w="351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介護保険の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適用除外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・介護保険優先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告示 第三の二</w:t>
            </w:r>
          </w:p>
        </w:tc>
        <w:tc>
          <w:tcPr>
            <w:tcW w:type="dxa" w:w="272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第3部第9章4（当方の対応表№19で置換）</w:t>
            </w:r>
          </w:p>
        </w:tc>
        <w:tc>
          <w:tcPr>
            <w:tcW w:type="dxa" w:w="96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1件</w:t>
            </w:r>
          </w:p>
        </w:tc>
      </w:tr>
      <w:tr>
        <w:tc>
          <w:tcPr>
            <w:tcW w:type="dxa" w:w="51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C9</w:t>
            </w:r>
          </w:p>
        </w:tc>
        <w:tc>
          <w:tcPr>
            <w:tcW w:type="dxa" w:w="351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見込量の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支給決定と実利用の区別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告示 第三の二の2</w:t>
            </w:r>
          </w:p>
        </w:tc>
        <w:tc>
          <w:tcPr>
            <w:tcW w:type="dxa" w:w="272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第3部第6章冒頭</w:t>
            </w:r>
          </w:p>
        </w:tc>
        <w:tc>
          <w:tcPr>
            <w:tcW w:type="dxa" w:w="96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8件</w:t>
            </w:r>
          </w:p>
        </w:tc>
      </w:tr>
      <w:tr>
        <w:tc>
          <w:tcPr>
            <w:tcW w:type="dxa" w:w="51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C10</w:t>
            </w:r>
          </w:p>
        </w:tc>
        <w:tc>
          <w:tcPr>
            <w:tcW w:type="dxa" w:w="351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こども家庭センター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との連携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告示 別表第二 五（二）</w:t>
            </w:r>
          </w:p>
        </w:tc>
        <w:tc>
          <w:tcPr>
            <w:tcW w:type="dxa" w:w="272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第3部第9章2</w:t>
            </w:r>
          </w:p>
        </w:tc>
        <w:tc>
          <w:tcPr>
            <w:tcW w:type="dxa" w:w="96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6件</w:t>
            </w:r>
          </w:p>
        </w:tc>
      </w:tr>
      <w:tr>
        <w:tc>
          <w:tcPr>
            <w:tcW w:type="dxa" w:w="51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C11</w:t>
            </w:r>
          </w:p>
        </w:tc>
        <w:tc>
          <w:tcPr>
            <w:tcW w:type="dxa" w:w="351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強度行動障害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を有する児者への支援体制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告示 第二の五</w:t>
            </w:r>
          </w:p>
        </w:tc>
        <w:tc>
          <w:tcPr>
            <w:tcW w:type="dxa" w:w="272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第3部第2章5・第4章4</w:t>
            </w:r>
          </w:p>
        </w:tc>
        <w:tc>
          <w:tcPr>
            <w:tcW w:type="dxa" w:w="96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21件</w:t>
            </w:r>
          </w:p>
        </w:tc>
      </w:tr>
      <w:tr>
        <w:tc>
          <w:tcPr>
            <w:tcW w:type="dxa" w:w="51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C12</w:t>
            </w:r>
          </w:p>
        </w:tc>
        <w:tc>
          <w:tcPr>
            <w:tcW w:type="dxa" w:w="351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心のサポーター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・Ｋ６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告示 第二の二</w:t>
            </w:r>
          </w:p>
        </w:tc>
        <w:tc>
          <w:tcPr>
            <w:tcW w:type="dxa" w:w="272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第3部第5章2</w:t>
            </w:r>
          </w:p>
        </w:tc>
        <w:tc>
          <w:tcPr>
            <w:tcW w:type="dxa" w:w="96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8件</w:t>
            </w:r>
          </w:p>
        </w:tc>
      </w:tr>
      <w:tr>
        <w:tc>
          <w:tcPr>
            <w:tcW w:type="dxa" w:w="51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C13</w:t>
            </w:r>
          </w:p>
        </w:tc>
        <w:tc>
          <w:tcPr>
            <w:tcW w:type="dxa" w:w="351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地域権利擁護相談支援センター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・法人後見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社会福祉法等の改正</w:t>
            </w:r>
          </w:p>
        </w:tc>
        <w:tc>
          <w:tcPr>
            <w:tcW w:type="dxa" w:w="272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第2部第2章3</w:t>
            </w:r>
          </w:p>
        </w:tc>
        <w:tc>
          <w:tcPr>
            <w:tcW w:type="dxa" w:w="96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6件</w:t>
            </w:r>
          </w:p>
        </w:tc>
      </w:tr>
      <w:tr>
        <w:tc>
          <w:tcPr>
            <w:tcW w:type="dxa" w:w="51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C14</w:t>
            </w:r>
          </w:p>
        </w:tc>
        <w:tc>
          <w:tcPr>
            <w:tcW w:type="dxa" w:w="351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災害派遣福祉チーム（ＤＷＡＴ）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社会福祉法等の改正</w:t>
            </w:r>
          </w:p>
        </w:tc>
        <w:tc>
          <w:tcPr>
            <w:tcW w:type="dxa" w:w="272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第1部第1章1・第2部第5章</w:t>
            </w:r>
          </w:p>
        </w:tc>
        <w:tc>
          <w:tcPr>
            <w:tcW w:type="dxa" w:w="96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3件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240" w:after="100"/>
      </w:pPr>
      <w:bookmarkStart w:id="104" w:name="_Toc_004"/>
      <w:r>
        <w:rPr>
          <w:rFonts w:ascii="游ゴシック" w:hAnsi="游ゴシック" w:eastAsia="游ゴシック"/>
          <w:b/>
          <w:i w:val="0"/>
          <w:color w:val="2E74B5"/>
          <w:sz w:val="30"/>
        </w:rPr>
        <w:t>4　「医療的ケア者」の扱い</w:t>
      </w:r>
      <w:bookmarkEnd w:id="104"/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法律（医療的ケア児支援法第2条）に「医療的ケア者」の語はありませんが、基本指針の改正案（第21回）は「医療的ケア者」を定義して用いています</w:t>
      </w:r>
      <w:r>
        <w:rPr>
          <w:rFonts w:ascii="游ゴシック" w:hAnsi="游ゴシック" w:eastAsia="游ゴシック"/>
          <w:b w:val="0"/>
          <w:i w:val="0"/>
          <w:sz w:val="21"/>
        </w:rPr>
        <w:t>（医療的ケア児であった者で恒常的に医療的ケアが不可欠なもの等。「医療的ケア児等」＝医療的ケア児及び医療的ケア者）。</w:t>
      </w: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どちらの語を用いるかは表記の選択です。</w:t>
      </w:r>
      <w:r>
        <w:rPr>
          <w:rFonts w:ascii="游ゴシック" w:hAnsi="游ゴシック" w:eastAsia="游ゴシック"/>
          <w:b w:val="0"/>
          <w:i w:val="0"/>
          <w:sz w:val="21"/>
        </w:rPr>
        <w:t xml:space="preserve"> 当方の成果品は法律の語（医療的ケア児等。18歳以上は「18歳以上の医療的ケア児等」）にそろえ、基本指針を引く箇所では指針の語を用いてよいものとします。他素案は「医療的ケアを必要とする人（児・者）」としており、いずれとも矛盾しません。</w:t>
      </w:r>
    </w:p>
    <w:p>
      <w:pPr>
        <w:pStyle w:val="Heading1"/>
        <w:keepNext/>
        <w:spacing w:before="240" w:after="100"/>
      </w:pPr>
      <w:bookmarkStart w:id="105" w:name="_Toc_005"/>
      <w:r>
        <w:rPr>
          <w:rFonts w:ascii="游ゴシック" w:hAnsi="游ゴシック" w:eastAsia="游ゴシック"/>
          <w:b/>
          <w:i w:val="0"/>
          <w:color w:val="2E74B5"/>
          <w:sz w:val="30"/>
        </w:rPr>
        <w:t>5　対応表への反映</w:t>
      </w:r>
      <w:bookmarkEnd w:id="105"/>
    </w:p>
    <w:p>
      <w:pPr>
        <w:spacing w:before="60" w:after="60"/>
      </w:pPr>
      <w:r>
        <w:rPr>
          <w:rFonts w:ascii="游ゴシック" w:hAnsi="游ゴシック" w:eastAsia="游ゴシック"/>
          <w:b w:val="0"/>
          <w:i w:val="0"/>
          <w:sz w:val="21"/>
        </w:rPr>
        <w:t>対応が要る論点のうち、R1〜R10を『他素案への追加候補の対応表』に№22〜31として加えました。R1〜R4は優先「高」です。R11は反映後の点検で扱います。</w:t>
      </w:r>
    </w:p>
    <w:p>
      <w:pPr>
        <w:pStyle w:val="Heading1"/>
        <w:keepNext/>
        <w:spacing w:before="240" w:after="100"/>
      </w:pPr>
      <w:bookmarkStart w:id="106" w:name="_Toc_006"/>
      <w:r>
        <w:rPr>
          <w:rFonts w:ascii="游ゴシック" w:hAnsi="游ゴシック" w:eastAsia="游ゴシック"/>
          <w:b/>
          <w:i w:val="0"/>
          <w:color w:val="2E74B5"/>
          <w:sz w:val="30"/>
        </w:rPr>
        <w:t>6　原典</w:t>
      </w:r>
      <w:bookmarkEnd w:id="106"/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【表4】照合に用いた原典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1020"/>
        <w:gridCol w:w="4876"/>
        <w:gridCol w:w="3855"/>
      </w:tblGrid>
      <w:tr>
        <w:tc>
          <w:tcPr>
            <w:tcW w:type="dxa" w:w="1020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略称</w:t>
            </w:r>
          </w:p>
        </w:tc>
        <w:tc>
          <w:tcPr>
            <w:tcW w:type="dxa" w:w="4876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資料</w:t>
            </w:r>
          </w:p>
        </w:tc>
        <w:tc>
          <w:tcPr>
            <w:tcW w:type="dxa" w:w="3855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ファイル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告示</w:t>
            </w:r>
          </w:p>
        </w:tc>
        <w:tc>
          <w:tcPr>
            <w:tcW w:type="dxa" w:w="4876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第8期基本指針（令和8年こども家庭庁・厚生労働省告示第4号）</w:t>
            </w:r>
          </w:p>
        </w:tc>
        <w:tc>
          <w:tcPr>
            <w:tcW w:type="dxa" w:w="385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第8期基本指針_告示本文_令和8年3月31日.pdf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改正案157</w:t>
            </w:r>
          </w:p>
        </w:tc>
        <w:tc>
          <w:tcPr>
            <w:tcW w:type="dxa" w:w="4876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基本指針の改正案（社会保障審議会障害者部会 第157回、令和8年7月10日）</w:t>
            </w:r>
          </w:p>
        </w:tc>
        <w:tc>
          <w:tcPr>
            <w:tcW w:type="dxa" w:w="385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基本指針改正_社会福祉法等改正_障害者部会第157回_令和8年7月10日.pdf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改正案21</w:t>
            </w:r>
          </w:p>
        </w:tc>
        <w:tc>
          <w:tcPr>
            <w:tcW w:type="dxa" w:w="4876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基本指針の改正案（こども家庭審議会障害児支援部会 第21回、令和8年8月19日）</w:t>
            </w:r>
          </w:p>
        </w:tc>
        <w:tc>
          <w:tcPr>
            <w:tcW w:type="dxa" w:w="385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基本指針改正_医療的ケア児支援法改正_障害児支援部会第21回_令和8年8月19日.pdf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PDCA</w:t>
            </w:r>
          </w:p>
        </w:tc>
        <w:tc>
          <w:tcPr>
            <w:tcW w:type="dxa" w:w="4876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障害福祉計画策定に係る実態調査及びPDCAサイクルに関するマニュアル（令和8年8月）</w:t>
            </w:r>
          </w:p>
        </w:tc>
        <w:tc>
          <w:tcPr>
            <w:tcW w:type="dxa" w:w="385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03_障害福祉計画策定に係る実態調査及びPDCAサイクルに関するマニュアル_令和8年8月.pdf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県通知</w:t>
            </w:r>
          </w:p>
        </w:tc>
        <w:tc>
          <w:tcPr>
            <w:tcW w:type="dxa" w:w="4876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福島県通知（8生福第2646号・8こ第2041号、令和8年8月24日）</w:t>
            </w:r>
          </w:p>
        </w:tc>
        <w:tc>
          <w:tcPr>
            <w:tcW w:type="dxa" w:w="385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01_福島県通知_8生福第2646号_令和8年8月24日.pdf</w:t>
            </w:r>
          </w:p>
        </w:tc>
      </w:tr>
      <w:tr>
        <w:tc>
          <w:tcPr>
            <w:tcW w:type="dxa" w:w="1020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GL</w:t>
            </w:r>
          </w:p>
        </w:tc>
        <w:tc>
          <w:tcPr>
            <w:tcW w:type="dxa" w:w="4876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障害福祉サービス等の提供に係る意思決定支援ガイドライン（第2版）</w:t>
            </w:r>
          </w:p>
        </w:tc>
        <w:tc>
          <w:tcPr>
            <w:tcW w:type="dxa" w:w="3855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意思決定支援ガイドライン第2版_本文_001749795.pdf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民法</w:t>
            </w:r>
          </w:p>
        </w:tc>
        <w:tc>
          <w:tcPr>
            <w:tcW w:type="dxa" w:w="4876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民法等の一部を改正する法律（令和8年法律第45号）</w:t>
            </w:r>
          </w:p>
        </w:tc>
        <w:tc>
          <w:tcPr>
            <w:tcW w:type="dxa" w:w="385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民法等の一部を改正する法律_令和8年法律第45号_001465481.pdf</w:t>
            </w:r>
          </w:p>
        </w:tc>
      </w:tr>
    </w:tbl>
    <w:p>
      <w:pPr>
        <w:spacing w:after="40"/>
      </w:pPr>
    </w:p>
    <w:p>
      <w:pPr>
        <w:spacing w:before="40" w:after="160"/>
        <w:ind w:left="113"/>
      </w:pPr>
      <w:r>
        <w:rPr>
          <w:rFonts w:ascii="游ゴシック" w:hAnsi="游ゴシック" w:eastAsia="游ゴシック"/>
          <w:b w:val="0"/>
          <w:i w:val="0"/>
          <w:sz w:val="17"/>
        </w:rPr>
        <w:t>いずれも国（厚生労働省・こども家庭庁・法務省）又は福島県の公表資料。24_国資料_障がい に収め、入手元を同フォルダの README に記した。改正案は告示前の案であり、告示（令和8年10月予定）の後に最終照合する。</w:t>
      </w:r>
    </w:p>
    <w:sectPr w:rsidR="00FC693F" w:rsidRPr="0006063C" w:rsidSect="00034616">
      <w:headerReference w:type="default" r:id="rId11"/>
      <w:footerReference w:type="default" r:id="rId12"/>
      <w:pgSz w:w="11906" w:h="16838"/>
      <w:pgMar w:top="1134" w:right="1077" w:bottom="1134" w:left="1077" w:header="709" w:footer="709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游ゴシック" w:hAnsi="游ゴシック" w:eastAsia="游ゴシック"/>
        <w:b w:val="0"/>
        <w:i w:val="0"/>
        <w:sz w:val="20"/>
      </w:rPr>
      <w:t xml:space="preserve">- </w:t>
    </w:r>
    <w:r>
      <w:rPr>
        <w:rFonts w:ascii="游ゴシック" w:hAnsi="游ゴシック" w:eastAsia="游ゴシック"/>
        <w:b w:val="0"/>
        <w:i w:val="0"/>
        <w:sz w:val="20"/>
      </w:rPr>
      <w:fldChar w:fldCharType="begin"/>
    </w:r>
    <w:r>
      <w:rPr>
        <w:rFonts w:ascii="游ゴシック" w:hAnsi="游ゴシック" w:eastAsia="游ゴシック"/>
        <w:b w:val="0"/>
        <w:i w:val="0"/>
        <w:sz w:val="20"/>
      </w:rPr>
      <w:instrText xml:space="preserve"> PAGE </w:instrText>
    </w:r>
    <w:r>
      <w:rPr>
        <w:rFonts w:ascii="游ゴシック" w:hAnsi="游ゴシック" w:eastAsia="游ゴシック"/>
        <w:b w:val="0"/>
        <w:i w:val="0"/>
        <w:sz w:val="20"/>
      </w:rPr>
      <w:fldChar w:fldCharType="end"/>
    </w:r>
    <w:r>
      <w:rPr>
        <w:rFonts w:ascii="游ゴシック" w:hAnsi="游ゴシック" w:eastAsia="游ゴシック"/>
        <w:b w:val="0"/>
        <w:i w:val="0"/>
        <w:sz w:val="20"/>
      </w:rPr>
      <w:t xml:space="preserve"> -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游ゴシック" w:hAnsi="游ゴシック" w:eastAsia="游ゴシック"/>
        <w:b w:val="0"/>
        <w:i w:val="0"/>
        <w:sz w:val="18"/>
      </w:rPr>
    </w:r>
    <w:r>
      <w:rPr>
        <w:rFonts w:ascii="游ゴシック" w:hAnsi="游ゴシック" w:eastAsia="游ゴシック"/>
        <w:b w:val="0"/>
        <w:i w:val="0"/>
        <w:sz w:val="18"/>
      </w:rPr>
      <w:t>小野町　障がい計画　論点漏れの点検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游ゴシック" w:hAnsi="游ゴシック" w:eastAsia="游ゴシック"/>
        <w:b w:val="0"/>
        <w:i w:val="0"/>
        <w:sz w:val="18"/>
      </w:rPr>
      <w:t>小野町　障がい計画　論点漏れの点検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60" w:after="60"/>
    </w:pPr>
    <w:rPr>
      <w:rFonts w:ascii="游ゴシック" w:hAnsi="游ゴシック" w:eastAsia="游ゴシック"/>
      <w:sz w:val="21"/>
      <w:lang w:val="en-US" w:eastAsia="ja-JP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ind w:left="0" w:firstLine="0"/>
      <w:outlineLvl w:val="0"/>
    </w:pPr>
    <w:rPr>
      <w:rFonts w:asciiTheme="majorHAnsi" w:eastAsiaTheme="majorEastAsia" w:hAnsiTheme="majorHAnsi" w:cstheme="majorBidi" w:ascii="游ゴシック" w:hAnsi="游ゴシック" w:eastAsia="游ゴシック"/>
      <w:b/>
      <w:bCs/>
      <w:i w:val="0"/>
      <w:color w:val="2E74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ind w:left="0" w:firstLine="0"/>
      <w:outlineLvl w:val="1"/>
    </w:pPr>
    <w:rPr>
      <w:rFonts w:asciiTheme="majorHAnsi" w:eastAsiaTheme="majorEastAsia" w:hAnsiTheme="majorHAnsi" w:cstheme="majorBidi" w:ascii="游ゴシック" w:hAnsi="游ゴシック" w:eastAsia="游ゴシック"/>
      <w:b/>
      <w:bCs/>
      <w:i w:val="0"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ind w:left="0" w:firstLine="0"/>
      <w:outlineLvl w:val="2"/>
    </w:pPr>
    <w:rPr>
      <w:rFonts w:asciiTheme="majorHAnsi" w:eastAsiaTheme="majorEastAsia" w:hAnsiTheme="majorHAnsi" w:cstheme="majorBidi" w:ascii="游ゴシック" w:hAnsi="游ゴシック" w:eastAsia="游ゴシック"/>
      <w:b/>
      <w:bCs/>
      <w:i w:val="0"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小野町　障がい計画　論点漏れの点検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ja-JP</dc:language>
</cp:coreProperties>
</file>