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76" w:lineRule="auto"/>
      </w:pPr>
      <w:r>
        <w:rPr>
          <w:rFonts w:ascii="游ゴシック" w:hAnsi="游ゴシック" w:eastAsia="游ゴシック"/>
          <w:b w:val="0"/>
          <w:sz w:val="22"/>
        </w:rPr>
        <w:t>大雪地区広域連合 御中</w:t>
      </w:r>
    </w:p>
    <w:p>
      <w:pPr>
        <w:spacing w:after="40" w:before="0" w:line="276" w:lineRule="auto"/>
      </w:pPr>
      <w:r>
        <w:rPr>
          <w:rFonts w:ascii="游ゴシック" w:hAnsi="游ゴシック" w:eastAsia="游ゴシック"/>
          <w:b w:val="0"/>
          <w:sz w:val="24"/>
        </w:rPr>
        <w:t>第10期介護保険事業計画策定支援業務</w:t>
      </w:r>
    </w:p>
    <w:p>
      <w:pPr>
        <w:spacing w:after="80" w:before="0" w:line="276" w:lineRule="auto"/>
      </w:pPr>
      <w:r>
        <w:rPr>
          <w:rFonts w:ascii="游ゴシック" w:hAnsi="游ゴシック" w:eastAsia="游ゴシック"/>
          <w:b/>
          <w:color w:val="1F3864"/>
          <w:sz w:val="36"/>
        </w:rPr>
        <w:t>キックオフ会議資料（第6稿）</w:t>
      </w:r>
    </w:p>
    <w:p>
      <w:pPr>
        <w:spacing w:after="40" w:before="0" w:line="276" w:lineRule="auto"/>
      </w:pPr>
      <w:r>
        <w:rPr>
          <w:rFonts w:ascii="游ゴシック" w:hAnsi="游ゴシック" w:eastAsia="游ゴシック"/>
          <w:b w:val="0"/>
          <w:sz w:val="21"/>
        </w:rPr>
        <w:t>令和8年8月5日現在</w:t>
      </w:r>
    </w:p>
    <w:p>
      <w:pPr>
        <w:spacing w:after="200" w:before="0" w:line="276" w:lineRule="auto"/>
      </w:pPr>
      <w:r>
        <w:rPr>
          <w:rFonts w:ascii="游ゴシック" w:hAnsi="游ゴシック" w:eastAsia="游ゴシック"/>
          <w:b w:val="0"/>
          <w:sz w:val="20"/>
        </w:rPr>
        <w:t>会議日時・出席者：別途確定　／　委員会準備・次工程確認用</w:t>
      </w:r>
    </w:p>
    <w:p>
      <w:pPr>
        <w:spacing w:before="240" w:after="100"/>
      </w:pPr>
      <w:r>
        <w:rPr>
          <w:rFonts w:ascii="游ゴシック" w:hAnsi="游ゴシック" w:eastAsia="游ゴシック"/>
          <w:b/>
          <w:color w:val="1F3864"/>
          <w:sz w:val="24"/>
        </w:rPr>
        <w:t>目次</w:t>
      </w:r>
    </w:p>
    <w:p>
      <w:pPr>
        <w:spacing w:after="20" w:before="0" w:line="276" w:lineRule="auto"/>
      </w:pPr>
      <w:r>
        <w:rPr>
          <w:rFonts w:ascii="游ゴシック" w:hAnsi="游ゴシック" w:eastAsia="游ゴシック"/>
          <w:b w:val="0"/>
          <w:sz w:val="20"/>
        </w:rPr>
        <w:t>1. はじめに</w:t>
      </w:r>
    </w:p>
    <w:p>
      <w:pPr>
        <w:spacing w:after="20" w:before="0" w:line="276" w:lineRule="auto"/>
      </w:pPr>
      <w:r>
        <w:rPr>
          <w:rFonts w:ascii="游ゴシック" w:hAnsi="游ゴシック" w:eastAsia="游ゴシック"/>
          <w:b w:val="0"/>
          <w:sz w:val="20"/>
        </w:rPr>
        <w:t>2. 業務概要</w:t>
      </w:r>
    </w:p>
    <w:p>
      <w:pPr>
        <w:spacing w:after="20" w:before="0" w:line="276" w:lineRule="auto"/>
      </w:pPr>
      <w:r>
        <w:rPr>
          <w:rFonts w:ascii="游ゴシック" w:hAnsi="游ゴシック" w:eastAsia="游ゴシック"/>
          <w:b w:val="0"/>
          <w:sz w:val="20"/>
        </w:rPr>
        <w:t>3. 本業務の位置付け</w:t>
      </w:r>
    </w:p>
    <w:p>
      <w:pPr>
        <w:spacing w:after="20" w:before="0" w:line="276" w:lineRule="auto"/>
      </w:pPr>
      <w:r>
        <w:rPr>
          <w:rFonts w:ascii="游ゴシック" w:hAnsi="游ゴシック" w:eastAsia="游ゴシック"/>
          <w:b w:val="0"/>
          <w:sz w:val="20"/>
        </w:rPr>
        <w:t>4. 本計画策定で進める主な業務</w:t>
      </w:r>
    </w:p>
    <w:p>
      <w:pPr>
        <w:spacing w:after="20" w:before="0" w:line="276" w:lineRule="auto"/>
      </w:pPr>
      <w:r>
        <w:rPr>
          <w:rFonts w:ascii="游ゴシック" w:hAnsi="游ゴシック" w:eastAsia="游ゴシック"/>
          <w:b w:val="0"/>
          <w:sz w:val="20"/>
        </w:rPr>
        <w:t>5. 第9期計画の評価方針</w:t>
      </w:r>
    </w:p>
    <w:p>
      <w:pPr>
        <w:spacing w:after="20" w:before="0" w:line="276" w:lineRule="auto"/>
      </w:pPr>
      <w:r>
        <w:rPr>
          <w:rFonts w:ascii="游ゴシック" w:hAnsi="游ゴシック" w:eastAsia="游ゴシック"/>
          <w:b w:val="0"/>
          <w:sz w:val="20"/>
        </w:rPr>
        <w:t>6. 調査結果の活用方針</w:t>
      </w:r>
    </w:p>
    <w:p>
      <w:pPr>
        <w:spacing w:after="20" w:before="0" w:line="276" w:lineRule="auto"/>
      </w:pPr>
      <w:r>
        <w:rPr>
          <w:rFonts w:ascii="游ゴシック" w:hAnsi="游ゴシック" w:eastAsia="游ゴシック"/>
          <w:b w:val="0"/>
          <w:sz w:val="20"/>
        </w:rPr>
        <w:t>7. 現状分析・将来推計と主要論点</w:t>
      </w:r>
    </w:p>
    <w:p>
      <w:pPr>
        <w:spacing w:after="20" w:before="0" w:line="276" w:lineRule="auto"/>
      </w:pPr>
      <w:r>
        <w:rPr>
          <w:rFonts w:ascii="游ゴシック" w:hAnsi="游ゴシック" w:eastAsia="游ゴシック"/>
          <w:b w:val="0"/>
          <w:sz w:val="20"/>
        </w:rPr>
        <w:t>8. サービス見込量・保険料の検討手順</w:t>
      </w:r>
    </w:p>
    <w:p>
      <w:pPr>
        <w:spacing w:after="20" w:before="0" w:line="276" w:lineRule="auto"/>
      </w:pPr>
      <w:r>
        <w:rPr>
          <w:rFonts w:ascii="游ゴシック" w:hAnsi="游ゴシック" w:eastAsia="游ゴシック"/>
          <w:b w:val="0"/>
          <w:sz w:val="20"/>
        </w:rPr>
        <w:t>9. 協議・3町調整・パブリックコメント</w:t>
      </w:r>
    </w:p>
    <w:p>
      <w:pPr>
        <w:spacing w:after="20" w:before="0" w:line="276" w:lineRule="auto"/>
      </w:pPr>
      <w:r>
        <w:rPr>
          <w:rFonts w:ascii="游ゴシック" w:hAnsi="游ゴシック" w:eastAsia="游ゴシック"/>
          <w:b w:val="0"/>
          <w:sz w:val="20"/>
        </w:rPr>
        <w:t>10. 工程表（案）</w:t>
      </w:r>
    </w:p>
    <w:p>
      <w:pPr>
        <w:spacing w:after="20" w:before="0" w:line="276" w:lineRule="auto"/>
      </w:pPr>
      <w:r>
        <w:rPr>
          <w:rFonts w:ascii="游ゴシック" w:hAnsi="游ゴシック" w:eastAsia="游ゴシック"/>
          <w:b w:val="0"/>
          <w:sz w:val="20"/>
        </w:rPr>
        <w:t>11. 成果物・準備資料・レビュー方法</w:t>
      </w:r>
    </w:p>
    <w:p>
      <w:pPr>
        <w:spacing w:after="20" w:before="0" w:line="276" w:lineRule="auto"/>
      </w:pPr>
      <w:r>
        <w:rPr>
          <w:rFonts w:ascii="游ゴシック" w:hAnsi="游ゴシック" w:eastAsia="游ゴシック"/>
          <w:b w:val="0"/>
          <w:sz w:val="20"/>
        </w:rPr>
        <w:t>12. キックオフ会議での確認事項</w:t>
      </w:r>
    </w:p>
    <w:p>
      <w:pPr>
        <w:spacing w:after="20" w:before="0" w:line="276" w:lineRule="auto"/>
      </w:pPr>
      <w:r>
        <w:rPr>
          <w:rFonts w:ascii="游ゴシック" w:hAnsi="游ゴシック" w:eastAsia="游ゴシック"/>
          <w:b w:val="0"/>
          <w:sz w:val="20"/>
        </w:rPr>
        <w:t>13. 個人情報の取扱い・まとめ</w:t>
      </w:r>
    </w:p>
    <w:p>
      <w:r>
        <w:br w:type="page"/>
      </w:r>
    </w:p>
    <w:p>
      <w:pPr>
        <w:spacing w:before="240" w:after="100"/>
      </w:pPr>
      <w:r>
        <w:rPr>
          <w:rFonts w:ascii="游ゴシック" w:hAnsi="游ゴシック" w:eastAsia="游ゴシック"/>
          <w:b/>
          <w:color w:val="1F3864"/>
          <w:sz w:val="26"/>
        </w:rPr>
        <w:t>1. はじめに</w:t>
      </w:r>
    </w:p>
    <w:p>
      <w:pPr>
        <w:spacing w:after="120" w:before="0" w:line="276" w:lineRule="auto"/>
      </w:pPr>
      <w:r>
        <w:rPr>
          <w:rFonts w:ascii="游ゴシック" w:hAnsi="游ゴシック" w:eastAsia="游ゴシック"/>
          <w:b w:val="0"/>
          <w:sz w:val="21"/>
        </w:rPr>
        <w:t>本資料は、キックオフ資料を令和8年8月5日現在の作業状況に合わせて更新した第6稿です。計画素案第10稿、第1回委員会資料、代表KPIの定義（計画素案 資料1）及び3町との役割分担（同 資料2）を共通の説明線で整理し、今後の判断事項と資料待ち事項を共有します。</w:t>
      </w:r>
    </w:p>
    <w:p>
      <w:pPr>
        <w:spacing w:after="120" w:before="0" w:line="276" w:lineRule="auto"/>
      </w:pPr>
      <w:r>
        <w:rPr>
          <w:rFonts w:ascii="游ゴシック" w:hAnsi="游ゴシック" w:eastAsia="游ゴシック"/>
          <w:b w:val="0"/>
          <w:sz w:val="21"/>
        </w:rPr>
        <w:t>本業務では、第9期計画の評価、実施済み4調査の集計・分析、行政・見える化データの横断分析、構成3町との調整、将来推計、サービス見込量・保険料試算、計画案作成、会議・パブリックコメント、印刷・納品までを一体的に進めます。</w:t>
      </w:r>
    </w:p>
    <w:tbl>
      <w:tblPr>
        <w:tblStyle w:val="TableGrid"/>
        <w:tblW w:type="auto" w:w="0"/>
        <w:tblLook w:firstColumn="1" w:firstRow="1" w:lastColumn="0" w:lastRow="0" w:noHBand="0" w:noVBand="1" w:val="04A0"/>
      </w:tblPr>
      <w:tblGrid>
        <w:gridCol w:w="9752"/>
      </w:tblGrid>
      <w:tr>
        <w:tc>
          <w:tcPr>
            <w:tcW w:type="dxa" w:w="9751"/>
            <w:shd w:val="clear" w:fill="F3F7FA"/>
          </w:tcPr>
          <w:p>
            <w:pPr>
              <w:spacing w:after="40"/>
            </w:pPr>
            <w:r/>
            <w:r>
              <w:rPr>
                <w:rFonts w:ascii="游ゴシック" w:hAnsi="游ゴシック" w:eastAsia="游ゴシック"/>
                <w:b/>
                <w:color w:val="1F3864"/>
                <w:sz w:val="21"/>
              </w:rPr>
              <w:t>本日の会議で共有したいこと</w:t>
            </w:r>
          </w:p>
          <w:p>
            <w:pPr>
              <w:spacing w:after="20" w:before="0"/>
            </w:pPr>
            <w:r>
              <w:rPr>
                <w:rFonts w:ascii="游ゴシック" w:hAnsi="游ゴシック" w:eastAsia="游ゴシック"/>
                <w:sz w:val="19"/>
              </w:rPr>
              <w:t>・第9期19施策の構造評価（部分評価可能6、指標不足13）と、本文KPI12項目・補完4項目による再設計方針を共有します。</w:t>
            </w:r>
          </w:p>
          <w:p>
            <w:pPr>
              <w:spacing w:after="20" w:before="0"/>
            </w:pPr>
            <w:r>
              <w:rPr>
                <w:rFonts w:ascii="游ゴシック" w:hAnsi="游ゴシック" w:eastAsia="游ゴシック"/>
                <w:sz w:val="19"/>
              </w:rPr>
              <w:t>・計画素案第10稿、第1回委員会資料、代表KPIの定義及び3町役割分担の整合状況を確認します。</w:t>
            </w:r>
          </w:p>
          <w:p>
            <w:pPr>
              <w:spacing w:after="20" w:before="0"/>
            </w:pPr>
            <w:r>
              <w:rPr>
                <w:rFonts w:ascii="游ゴシック" w:hAnsi="游ゴシック" w:eastAsia="游ゴシック"/>
                <w:sz w:val="19"/>
              </w:rPr>
              <w:t>・人口推計の基礎について、受託者の案（社人研推計＝見える化システムの初期値をそのまま用いる）と、これを仮に置いて試算した将来推計の第1段階の結果をお示しします。基礎の採用と認定率のシナリオの選択についてご意向をお伺いします。</w:t>
            </w:r>
          </w:p>
          <w:p>
            <w:pPr>
              <w:spacing w:after="20" w:before="0"/>
            </w:pPr>
            <w:r>
              <w:rPr>
                <w:rFonts w:ascii="游ゴシック" w:hAnsi="游ゴシック" w:eastAsia="游ゴシック"/>
                <w:sz w:val="19"/>
              </w:rPr>
              <w:t>・仕様書４（3）の対象4調査の受領状況と、事業所を対象とする調査が受託者の業務範囲に含まれないことをご確認いただきます。</w:t>
            </w:r>
          </w:p>
          <w:p>
            <w:pPr>
              <w:spacing w:after="20" w:before="0"/>
            </w:pPr>
            <w:r>
              <w:rPr>
                <w:rFonts w:ascii="游ゴシック" w:hAnsi="游ゴシック" w:eastAsia="游ゴシック"/>
                <w:sz w:val="19"/>
              </w:rPr>
              <w:t>・将来推計の第2段階（サービス見込量）を試算しました。利用率及び受給者1人当たりの利用日数・回数を令和7年度で固定する基本ケースと、直近3年の趨勢を延長した感度分析をお示しします。置き方についてご意向をお伺いします。</w:t>
            </w:r>
          </w:p>
          <w:p>
            <w:pPr>
              <w:spacing w:after="20" w:before="0"/>
            </w:pPr>
            <w:r>
              <w:rPr>
                <w:rFonts w:ascii="游ゴシック" w:hAnsi="游ゴシック" w:eastAsia="游ゴシック"/>
                <w:sz w:val="19"/>
              </w:rPr>
              <w:t>・北海道の施設・住まいの名簿及び介護サービス情報公表システムとの突合により、調査だけでは把握できていなかった施設が明らかになりました。計画本文に載せる供給量が変わるため、数値の差し替えと未回答施設への照会の要否をご確認いただきます。</w:t>
            </w:r>
          </w:p>
          <w:p>
            <w:pPr>
              <w:spacing w:after="20" w:before="0"/>
            </w:pPr>
            <w:r>
              <w:rPr>
                <w:rFonts w:ascii="游ゴシック" w:hAnsi="游ゴシック" w:eastAsia="游ゴシック"/>
                <w:sz w:val="19"/>
              </w:rPr>
              <w:t>・複数シナリオ、委員会までの資料提出・意思決定工程を確認します。</w:t>
            </w:r>
          </w:p>
        </w:tc>
      </w:tr>
    </w:tbl>
    <w:p>
      <w:pPr>
        <w:spacing w:after="80"/>
      </w:pPr>
    </w:p>
    <w:p>
      <w:pPr>
        <w:spacing w:before="240" w:after="100"/>
      </w:pPr>
      <w:r>
        <w:rPr>
          <w:rFonts w:ascii="游ゴシック" w:hAnsi="游ゴシック" w:eastAsia="游ゴシック"/>
          <w:b/>
          <w:color w:val="1F3864"/>
          <w:sz w:val="26"/>
        </w:rPr>
        <w:t>2. 業務概要</w:t>
      </w:r>
    </w:p>
    <w:p>
      <w:pPr>
        <w:spacing w:after="120" w:before="0" w:line="276" w:lineRule="auto"/>
      </w:pPr>
      <w:r>
        <w:rPr>
          <w:rFonts w:ascii="游ゴシック" w:hAnsi="游ゴシック" w:eastAsia="游ゴシック"/>
          <w:b w:val="0"/>
          <w:sz w:val="21"/>
        </w:rPr>
        <w:t>仕様書・設計書の要求事項を、業務管理と意思決定に使える形で整理します。なお、仕様書の定めにより、受託者は業務の各工程においてその都度発注者の意向を確認しながら業務を進めます。本資料に記載する推計の前提、シナリオ及び計画の方向性は、特にご意向を確認した旨を明記したものを除き、受託者の案又は作業上の前提であり、決定した事項ではありません。仕様書４（3）が定める4調査のうち、健康とくらしの調査は個票データを受領し集計・クロス集計・分析を完了しています。他の3調査は令和8年8月4日に第10期分（23の法人・事業者、102ファイル）を受領し、点検と集計を行いました。集計方法を決めないと計画本文の数値が変わる事項が5件あり、本日ご意向を確認します。あわせて令和8年8月4日から5日にかけて北海道の施設・住まいの名簿8種及び介護サービス情報公表システムの個別公表画面を受領し、区域内の施設・住まいの供給量を確定しました。</w:t>
      </w:r>
    </w:p>
    <w:tbl>
      <w:tblPr>
        <w:tblStyle w:val="TableGrid"/>
        <w:tblW w:type="auto" w:w="0"/>
        <w:jc w:val="center"/>
        <w:tblLook w:firstColumn="1" w:firstRow="1" w:lastColumn="0" w:lastRow="0" w:noHBand="0" w:noVBand="1" w:val="04A0"/>
      </w:tblPr>
      <w:tblGrid>
        <w:gridCol w:w="4876"/>
        <w:gridCol w:w="4876"/>
      </w:tblGrid>
      <w:tr>
        <w:tc>
          <w:tcPr>
            <w:tcW w:type="dxa" w:w="1814"/>
            <w:shd w:val="clear" w:fill="1F3864"/>
          </w:tcPr>
          <w:p>
            <w:pPr>
              <w:spacing w:after="20" w:before="20"/>
            </w:pPr>
            <w:r/>
            <w:r>
              <w:rPr>
                <w:rFonts w:ascii="游ゴシック" w:hAnsi="游ゴシック" w:eastAsia="游ゴシック"/>
                <w:b/>
                <w:color w:val="FFFFFF"/>
                <w:sz w:val="18"/>
              </w:rPr>
              <w:t>項目</w:t>
            </w:r>
          </w:p>
        </w:tc>
        <w:tc>
          <w:tcPr>
            <w:tcW w:type="dxa" w:w="7937"/>
            <w:shd w:val="clear" w:fill="1F3864"/>
          </w:tcPr>
          <w:p>
            <w:pPr>
              <w:spacing w:after="20" w:before="20"/>
            </w:pPr>
            <w:r/>
            <w:r>
              <w:rPr>
                <w:rFonts w:ascii="游ゴシック" w:hAnsi="游ゴシック" w:eastAsia="游ゴシック"/>
                <w:b/>
                <w:color w:val="FFFFFF"/>
                <w:sz w:val="18"/>
              </w:rPr>
              <w:t>内容</w:t>
            </w:r>
          </w:p>
        </w:tc>
      </w:tr>
      <w:tr>
        <w:tc>
          <w:tcPr>
            <w:tcW w:type="dxa" w:w="1814"/>
          </w:tcPr>
          <w:p>
            <w:pPr>
              <w:spacing w:after="20" w:before="20"/>
            </w:pPr>
            <w:r/>
            <w:r>
              <w:rPr>
                <w:rFonts w:ascii="游ゴシック" w:hAnsi="游ゴシック" w:eastAsia="游ゴシック"/>
                <w:b w:val="0"/>
                <w:sz w:val="18"/>
              </w:rPr>
              <w:t>業務名</w:t>
            </w:r>
          </w:p>
        </w:tc>
        <w:tc>
          <w:tcPr>
            <w:tcW w:type="dxa" w:w="7937"/>
          </w:tcPr>
          <w:p>
            <w:pPr>
              <w:spacing w:after="20" w:before="20"/>
            </w:pPr>
            <w:r/>
            <w:r>
              <w:rPr>
                <w:rFonts w:ascii="游ゴシック" w:hAnsi="游ゴシック" w:eastAsia="游ゴシック"/>
                <w:b w:val="0"/>
                <w:sz w:val="18"/>
              </w:rPr>
              <w:t>大雪地区広域連合 第10期介護保険事業計画策定支援業務</w:t>
            </w:r>
          </w:p>
        </w:tc>
      </w:tr>
      <w:tr>
        <w:tc>
          <w:tcPr>
            <w:tcW w:type="dxa" w:w="1814"/>
          </w:tcPr>
          <w:p>
            <w:pPr>
              <w:spacing w:after="20" w:before="20"/>
            </w:pPr>
            <w:r/>
            <w:r>
              <w:rPr>
                <w:rFonts w:ascii="游ゴシック" w:hAnsi="游ゴシック" w:eastAsia="游ゴシック"/>
                <w:b w:val="0"/>
                <w:sz w:val="18"/>
              </w:rPr>
              <w:t>計画期間</w:t>
            </w:r>
          </w:p>
        </w:tc>
        <w:tc>
          <w:tcPr>
            <w:tcW w:type="dxa" w:w="7937"/>
          </w:tcPr>
          <w:p>
            <w:pPr>
              <w:spacing w:after="20" w:before="20"/>
            </w:pPr>
            <w:r/>
            <w:r>
              <w:rPr>
                <w:rFonts w:ascii="游ゴシック" w:hAnsi="游ゴシック" w:eastAsia="游ゴシック"/>
                <w:b w:val="0"/>
                <w:sz w:val="18"/>
              </w:rPr>
              <w:t>令和9年度～令和11年度（2027～2029年度）</w:t>
            </w:r>
          </w:p>
        </w:tc>
      </w:tr>
      <w:tr>
        <w:tc>
          <w:tcPr>
            <w:tcW w:type="dxa" w:w="1814"/>
          </w:tcPr>
          <w:p>
            <w:pPr>
              <w:spacing w:after="20" w:before="20"/>
            </w:pPr>
            <w:r/>
            <w:r>
              <w:rPr>
                <w:rFonts w:ascii="游ゴシック" w:hAnsi="游ゴシック" w:eastAsia="游ゴシック"/>
                <w:b w:val="0"/>
                <w:sz w:val="18"/>
              </w:rPr>
              <w:t>履行期間</w:t>
            </w:r>
          </w:p>
        </w:tc>
        <w:tc>
          <w:tcPr>
            <w:tcW w:type="dxa" w:w="7937"/>
          </w:tcPr>
          <w:p>
            <w:pPr>
              <w:spacing w:after="20" w:before="20"/>
            </w:pPr>
            <w:r/>
            <w:r>
              <w:rPr>
                <w:rFonts w:ascii="游ゴシック" w:hAnsi="游ゴシック" w:eastAsia="游ゴシック"/>
                <w:b w:val="0"/>
                <w:sz w:val="18"/>
              </w:rPr>
              <w:t>契約締結日から令和9年3月26日まで</w:t>
            </w:r>
          </w:p>
        </w:tc>
      </w:tr>
      <w:tr>
        <w:tc>
          <w:tcPr>
            <w:tcW w:type="dxa" w:w="1814"/>
          </w:tcPr>
          <w:p>
            <w:pPr>
              <w:spacing w:after="20" w:before="20"/>
            </w:pPr>
            <w:r/>
            <w:r>
              <w:rPr>
                <w:rFonts w:ascii="游ゴシック" w:hAnsi="游ゴシック" w:eastAsia="游ゴシック"/>
                <w:b w:val="0"/>
                <w:sz w:val="18"/>
              </w:rPr>
              <w:t>対象地域</w:t>
            </w:r>
          </w:p>
        </w:tc>
        <w:tc>
          <w:tcPr>
            <w:tcW w:type="dxa" w:w="7937"/>
          </w:tcPr>
          <w:p>
            <w:pPr>
              <w:spacing w:after="20" w:before="20"/>
            </w:pPr>
            <w:r/>
            <w:r>
              <w:rPr>
                <w:rFonts w:ascii="游ゴシック" w:hAnsi="游ゴシック" w:eastAsia="游ゴシック"/>
                <w:b w:val="0"/>
                <w:sz w:val="18"/>
              </w:rPr>
              <w:t>大雪地区広域連合（東川町・東神楽町・美瑛町）</w:t>
            </w:r>
          </w:p>
        </w:tc>
      </w:tr>
      <w:tr>
        <w:tc>
          <w:tcPr>
            <w:tcW w:type="dxa" w:w="1814"/>
          </w:tcPr>
          <w:p>
            <w:pPr>
              <w:spacing w:after="20" w:before="20"/>
            </w:pPr>
            <w:r/>
            <w:r>
              <w:rPr>
                <w:rFonts w:ascii="游ゴシック" w:hAnsi="游ゴシック" w:eastAsia="游ゴシック"/>
                <w:b w:val="0"/>
                <w:sz w:val="18"/>
              </w:rPr>
              <w:t>主な業務</w:t>
            </w:r>
          </w:p>
        </w:tc>
        <w:tc>
          <w:tcPr>
            <w:tcW w:type="dxa" w:w="7937"/>
          </w:tcPr>
          <w:p>
            <w:pPr>
              <w:spacing w:after="20" w:before="20"/>
            </w:pPr>
            <w:r/>
            <w:r>
              <w:rPr>
                <w:rFonts w:ascii="游ゴシック" w:hAnsi="游ゴシック" w:eastAsia="游ゴシック"/>
                <w:b w:val="0"/>
                <w:sz w:val="18"/>
              </w:rPr>
              <w:t>国・制度動向整理、第9期評価、実施済み4調査の集計・分析、地域分析、将来推計、計画案作成</w:t>
            </w:r>
          </w:p>
        </w:tc>
      </w:tr>
      <w:tr>
        <w:tc>
          <w:tcPr>
            <w:tcW w:type="dxa" w:w="1814"/>
          </w:tcPr>
          <w:p>
            <w:pPr>
              <w:spacing w:after="20" w:before="20"/>
            </w:pPr>
            <w:r/>
            <w:r>
              <w:rPr>
                <w:rFonts w:ascii="游ゴシック" w:hAnsi="游ゴシック" w:eastAsia="游ゴシック"/>
                <w:b w:val="0"/>
                <w:sz w:val="18"/>
              </w:rPr>
              <w:t>成果品</w:t>
            </w:r>
          </w:p>
        </w:tc>
        <w:tc>
          <w:tcPr>
            <w:tcW w:type="dxa" w:w="7937"/>
          </w:tcPr>
          <w:p>
            <w:pPr>
              <w:spacing w:after="20" w:before="20"/>
            </w:pPr>
            <w:r/>
            <w:r>
              <w:rPr>
                <w:rFonts w:ascii="游ゴシック" w:hAnsi="游ゴシック" w:eastAsia="游ゴシック"/>
                <w:b w:val="0"/>
                <w:sz w:val="18"/>
              </w:rPr>
              <w:t>計画書約100頁・200部、編集可能データ、PDF、分析資料等。概要版は電子データ</w:t>
            </w:r>
          </w:p>
        </w:tc>
      </w:tr>
      <w:tr>
        <w:tc>
          <w:tcPr>
            <w:tcW w:type="dxa" w:w="1814"/>
          </w:tcPr>
          <w:p>
            <w:pPr>
              <w:spacing w:after="20" w:before="20"/>
            </w:pPr>
            <w:r/>
            <w:r>
              <w:rPr>
                <w:rFonts w:ascii="游ゴシック" w:hAnsi="游ゴシック" w:eastAsia="游ゴシック"/>
                <w:b w:val="0"/>
                <w:sz w:val="18"/>
              </w:rPr>
              <w:t>現在地</w:t>
            </w:r>
          </w:p>
        </w:tc>
        <w:tc>
          <w:tcPr>
            <w:tcW w:type="dxa" w:w="7937"/>
          </w:tcPr>
          <w:p>
            <w:pPr>
              <w:spacing w:after="20" w:before="20"/>
            </w:pPr>
            <w:r/>
            <w:r>
              <w:rPr>
                <w:rFonts w:ascii="游ゴシック" w:hAnsi="游ゴシック" w:eastAsia="游ゴシック"/>
                <w:b w:val="0"/>
                <w:sz w:val="18"/>
              </w:rPr>
              <w:t>計画素案第10稿、第1回委員会資料、代表KPIの定義、3町役割分担、見える化整合、将来推計の第1段階</w:t>
            </w:r>
          </w:p>
        </w:tc>
      </w:tr>
    </w:tbl>
    <w:p>
      <w:pPr>
        <w:spacing w:after="80"/>
      </w:pPr>
    </w:p>
    <w:p>
      <w:pPr>
        <w:spacing w:before="240" w:after="100"/>
      </w:pPr>
      <w:r>
        <w:rPr>
          <w:rFonts w:ascii="游ゴシック" w:hAnsi="游ゴシック" w:eastAsia="游ゴシック"/>
          <w:b/>
          <w:color w:val="1F3864"/>
          <w:sz w:val="26"/>
        </w:rPr>
        <w:t>3. 本業務の位置付け</w:t>
      </w:r>
    </w:p>
    <w:p>
      <w:pPr>
        <w:spacing w:after="120" w:before="0" w:line="276" w:lineRule="auto"/>
      </w:pPr>
      <w:r>
        <w:rPr>
          <w:rFonts w:ascii="游ゴシック" w:hAnsi="游ゴシック" w:eastAsia="游ゴシック"/>
          <w:b w:val="0"/>
          <w:sz w:val="21"/>
        </w:rPr>
        <w:t>大雪地区では、広域連合が介護保険事業計画を策定し、構成3町がそれぞれ高齢者福祉計画を策定します。2本立ての計画を混在させず、共通のデータ、地域課題、将来像及びKPIで整合させます。整合に当たっては、共通のデータ定義・将来推計・課題認識を用い、広域連合は介護保険運営、各町は地域福祉・一般高齢者施策を中心に記載し、重複ではなく施策・財源・実施・評価の分担と接続を明示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928"/>
            <w:shd w:val="clear" w:fill="1F3864"/>
          </w:tcPr>
          <w:p>
            <w:pPr>
              <w:spacing w:after="20" w:before="20"/>
            </w:pPr>
            <w:r/>
            <w:r>
              <w:rPr>
                <w:rFonts w:ascii="游ゴシック" w:hAnsi="游ゴシック" w:eastAsia="游ゴシック"/>
                <w:b/>
                <w:color w:val="FFFFFF"/>
                <w:sz w:val="18"/>
              </w:rPr>
              <w:t>主体</w:t>
            </w:r>
          </w:p>
        </w:tc>
        <w:tc>
          <w:tcPr>
            <w:tcW w:type="dxa" w:w="2041"/>
            <w:shd w:val="clear" w:fill="1F3864"/>
          </w:tcPr>
          <w:p>
            <w:pPr>
              <w:spacing w:after="20" w:before="20"/>
            </w:pPr>
            <w:r/>
            <w:r>
              <w:rPr>
                <w:rFonts w:ascii="游ゴシック" w:hAnsi="游ゴシック" w:eastAsia="游ゴシック"/>
                <w:b/>
                <w:color w:val="FFFFFF"/>
                <w:sz w:val="18"/>
              </w:rPr>
              <w:t>策定する計画</w:t>
            </w:r>
          </w:p>
        </w:tc>
        <w:tc>
          <w:tcPr>
            <w:tcW w:type="dxa" w:w="3175"/>
            <w:shd w:val="clear" w:fill="1F3864"/>
          </w:tcPr>
          <w:p>
            <w:pPr>
              <w:spacing w:after="20" w:before="20"/>
            </w:pPr>
            <w:r/>
            <w:r>
              <w:rPr>
                <w:rFonts w:ascii="游ゴシック" w:hAnsi="游ゴシック" w:eastAsia="游ゴシック"/>
                <w:b/>
                <w:color w:val="FFFFFF"/>
                <w:sz w:val="18"/>
              </w:rPr>
              <w:t>主な担当範囲</w:t>
            </w:r>
          </w:p>
        </w:tc>
        <w:tc>
          <w:tcPr>
            <w:tcW w:type="dxa" w:w="2608"/>
            <w:shd w:val="clear" w:fill="1F3864"/>
          </w:tcPr>
          <w:p>
            <w:pPr>
              <w:spacing w:after="20" w:before="20"/>
            </w:pPr>
            <w:r/>
            <w:r>
              <w:rPr>
                <w:rFonts w:ascii="游ゴシック" w:hAnsi="游ゴシック" w:eastAsia="游ゴシック"/>
                <w:b/>
                <w:color w:val="FFFFFF"/>
                <w:sz w:val="18"/>
              </w:rPr>
              <w:t>接続事項</w:t>
            </w:r>
          </w:p>
        </w:tc>
      </w:tr>
      <w:tr>
        <w:tc>
          <w:tcPr>
            <w:tcW w:type="dxa" w:w="1928"/>
          </w:tcPr>
          <w:p>
            <w:pPr>
              <w:spacing w:after="20" w:before="20"/>
            </w:pPr>
            <w:r/>
            <w:r>
              <w:rPr>
                <w:rFonts w:ascii="游ゴシック" w:hAnsi="游ゴシック" w:eastAsia="游ゴシック"/>
                <w:b w:val="0"/>
                <w:sz w:val="18"/>
              </w:rPr>
              <w:t>大雪地区広域連合</w:t>
            </w:r>
          </w:p>
        </w:tc>
        <w:tc>
          <w:tcPr>
            <w:tcW w:type="dxa" w:w="2041"/>
          </w:tcPr>
          <w:p>
            <w:pPr>
              <w:spacing w:after="20" w:before="20"/>
            </w:pPr>
            <w:r/>
            <w:r>
              <w:rPr>
                <w:rFonts w:ascii="游ゴシック" w:hAnsi="游ゴシック" w:eastAsia="游ゴシック"/>
                <w:b w:val="0"/>
                <w:sz w:val="18"/>
              </w:rPr>
              <w:t>第10期介護保険事業計画</w:t>
            </w:r>
          </w:p>
        </w:tc>
        <w:tc>
          <w:tcPr>
            <w:tcW w:type="dxa" w:w="3175"/>
          </w:tcPr>
          <w:p>
            <w:pPr>
              <w:spacing w:after="20" w:before="20"/>
            </w:pPr>
            <w:r/>
            <w:r>
              <w:rPr>
                <w:rFonts w:ascii="游ゴシック" w:hAnsi="游ゴシック" w:eastAsia="游ゴシック"/>
                <w:b w:val="0"/>
                <w:sz w:val="18"/>
              </w:rPr>
              <w:t>認定・給付、サービス見込量、基盤、保険料、人材、保険運営</w:t>
            </w:r>
          </w:p>
        </w:tc>
        <w:tc>
          <w:tcPr>
            <w:tcW w:type="dxa" w:w="2608"/>
          </w:tcPr>
          <w:p>
            <w:pPr>
              <w:spacing w:after="20" w:before="20"/>
            </w:pPr>
            <w:r/>
            <w:r>
              <w:rPr>
                <w:rFonts w:ascii="游ゴシック" w:hAnsi="游ゴシック" w:eastAsia="游ゴシック"/>
                <w:b w:val="0"/>
                <w:sz w:val="18"/>
              </w:rPr>
              <w:t>地域課題、施策方向、地域支援事業、在宅生活、認知症、人材</w:t>
            </w:r>
          </w:p>
        </w:tc>
      </w:tr>
      <w:tr>
        <w:tc>
          <w:tcPr>
            <w:tcW w:type="dxa" w:w="1928"/>
          </w:tcPr>
          <w:p>
            <w:pPr>
              <w:spacing w:after="20" w:before="20"/>
            </w:pPr>
            <w:r/>
            <w:r>
              <w:rPr>
                <w:rFonts w:ascii="游ゴシック" w:hAnsi="游ゴシック" w:eastAsia="游ゴシック"/>
                <w:b w:val="0"/>
                <w:sz w:val="18"/>
              </w:rPr>
              <w:t>東川町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一般高齢者施策、健康・介護予防、生活支援、地域共生、権利擁護等</w:t>
            </w:r>
          </w:p>
        </w:tc>
        <w:tc>
          <w:tcPr>
            <w:tcW w:type="dxa" w:w="2608"/>
          </w:tcPr>
          <w:p>
            <w:pPr>
              <w:spacing w:after="20" w:before="20"/>
            </w:pPr>
            <w:r/>
            <w:r>
              <w:rPr>
                <w:rFonts w:ascii="游ゴシック" w:hAnsi="游ゴシック" w:eastAsia="游ゴシック"/>
                <w:b w:val="0"/>
                <w:sz w:val="18"/>
              </w:rPr>
              <w:t>町別人口・ニーズ、地域資源、広域事業との分担</w:t>
            </w:r>
          </w:p>
        </w:tc>
      </w:tr>
      <w:tr>
        <w:tc>
          <w:tcPr>
            <w:tcW w:type="dxa" w:w="1928"/>
          </w:tcPr>
          <w:p>
            <w:pPr>
              <w:spacing w:after="20" w:before="20"/>
            </w:pPr>
            <w:r/>
            <w:r>
              <w:rPr>
                <w:rFonts w:ascii="游ゴシック" w:hAnsi="游ゴシック" w:eastAsia="游ゴシック"/>
                <w:b w:val="0"/>
                <w:sz w:val="18"/>
              </w:rPr>
              <w:t>東神楽町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町の実情に応じた高齢者福祉施策</w:t>
            </w:r>
          </w:p>
        </w:tc>
        <w:tc>
          <w:tcPr>
            <w:tcW w:type="dxa" w:w="2608"/>
          </w:tcPr>
          <w:p>
            <w:pPr>
              <w:spacing w:after="20" w:before="20"/>
            </w:pPr>
            <w:r/>
            <w:r>
              <w:rPr>
                <w:rFonts w:ascii="游ゴシック" w:hAnsi="游ゴシック" w:eastAsia="游ゴシック"/>
                <w:b w:val="0"/>
                <w:sz w:val="18"/>
              </w:rPr>
              <w:t>同上</w:t>
            </w:r>
          </w:p>
        </w:tc>
      </w:tr>
      <w:tr>
        <w:tc>
          <w:tcPr>
            <w:tcW w:type="dxa" w:w="1928"/>
          </w:tcPr>
          <w:p>
            <w:pPr>
              <w:spacing w:after="20" w:before="20"/>
            </w:pPr>
            <w:r/>
            <w:r>
              <w:rPr>
                <w:rFonts w:ascii="游ゴシック" w:hAnsi="游ゴシック" w:eastAsia="游ゴシック"/>
                <w:b w:val="0"/>
                <w:sz w:val="18"/>
              </w:rPr>
              <w:t>美瑛町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町の実情に応じた高齢者福祉施策</w:t>
            </w:r>
          </w:p>
        </w:tc>
        <w:tc>
          <w:tcPr>
            <w:tcW w:type="dxa" w:w="2608"/>
          </w:tcPr>
          <w:p>
            <w:pPr>
              <w:spacing w:after="20" w:before="20"/>
            </w:pPr>
            <w:r/>
            <w:r>
              <w:rPr>
                <w:rFonts w:ascii="游ゴシック" w:hAnsi="游ゴシック" w:eastAsia="游ゴシック"/>
                <w:b w:val="0"/>
                <w:sz w:val="18"/>
              </w:rPr>
              <w:t>同上</w:t>
            </w:r>
          </w:p>
        </w:tc>
      </w:tr>
    </w:tbl>
    <w:p>
      <w:pPr>
        <w:spacing w:after="80"/>
      </w:pPr>
    </w:p>
    <w:p>
      <w:pPr>
        <w:spacing w:before="240" w:after="100"/>
      </w:pPr>
      <w:r>
        <w:rPr>
          <w:rFonts w:ascii="游ゴシック" w:hAnsi="游ゴシック" w:eastAsia="游ゴシック"/>
          <w:b/>
          <w:color w:val="1F3864"/>
          <w:sz w:val="26"/>
        </w:rPr>
        <w:t>4. 本計画策定で進める主な業務</w:t>
      </w:r>
    </w:p>
    <w:p>
      <w:pPr>
        <w:spacing w:after="120" w:before="0" w:line="276" w:lineRule="auto"/>
      </w:pPr>
      <w:r>
        <w:rPr>
          <w:rFonts w:ascii="游ゴシック" w:hAnsi="游ゴシック" w:eastAsia="游ゴシック"/>
          <w:b w:val="0"/>
          <w:sz w:val="21"/>
        </w:rPr>
        <w:t>分析から印刷・納品までを7つの作業群で管理します。現在は第9期の構造評価、見える化の各系列による分析、計画素案第10稿、第1回委員会資料、代表KPIの定義及び将来推計の第1段階まで完了し、実績評価、調査分析及び需給シナリオの具体化へ移る段階です。分析結果から、課題、施策、KPI、サービス見込量・保険料までが一つの説明線になるよう整理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794"/>
            <w:shd w:val="clear" w:fill="1F3864"/>
          </w:tcPr>
          <w:p>
            <w:pPr>
              <w:spacing w:after="20" w:before="20"/>
            </w:pPr>
            <w:r/>
            <w:r>
              <w:rPr>
                <w:rFonts w:ascii="游ゴシック" w:hAnsi="游ゴシック" w:eastAsia="游ゴシック"/>
                <w:b/>
                <w:color w:val="FFFFFF"/>
                <w:sz w:val="18"/>
              </w:rPr>
              <w:t>段階</w:t>
            </w:r>
          </w:p>
        </w:tc>
        <w:tc>
          <w:tcPr>
            <w:tcW w:type="dxa" w:w="1814"/>
            <w:shd w:val="clear" w:fill="1F3864"/>
          </w:tcPr>
          <w:p>
            <w:pPr>
              <w:spacing w:after="20" w:before="20"/>
            </w:pPr>
            <w:r/>
            <w:r>
              <w:rPr>
                <w:rFonts w:ascii="游ゴシック" w:hAnsi="游ゴシック" w:eastAsia="游ゴシック"/>
                <w:b/>
                <w:color w:val="FFFFFF"/>
                <w:sz w:val="18"/>
              </w:rPr>
              <w:t>作業群</w:t>
            </w:r>
          </w:p>
        </w:tc>
        <w:tc>
          <w:tcPr>
            <w:tcW w:type="dxa" w:w="4082"/>
            <w:shd w:val="clear" w:fill="1F3864"/>
          </w:tcPr>
          <w:p>
            <w:pPr>
              <w:spacing w:after="20" w:before="20"/>
            </w:pPr>
            <w:r/>
            <w:r>
              <w:rPr>
                <w:rFonts w:ascii="游ゴシック" w:hAnsi="游ゴシック" w:eastAsia="游ゴシック"/>
                <w:b/>
                <w:color w:val="FFFFFF"/>
                <w:sz w:val="18"/>
              </w:rPr>
              <w:t>現在の状況</w:t>
            </w:r>
          </w:p>
        </w:tc>
        <w:tc>
          <w:tcPr>
            <w:tcW w:type="dxa" w:w="3061"/>
            <w:shd w:val="clear" w:fill="1F3864"/>
          </w:tcPr>
          <w:p>
            <w:pPr>
              <w:spacing w:after="20" w:before="20"/>
            </w:pPr>
            <w:r/>
            <w:r>
              <w:rPr>
                <w:rFonts w:ascii="游ゴシック" w:hAnsi="游ゴシック" w:eastAsia="游ゴシック"/>
                <w:b/>
                <w:color w:val="FFFFFF"/>
                <w:sz w:val="18"/>
              </w:rPr>
              <w:t>次の成果</w:t>
            </w:r>
          </w:p>
        </w:tc>
      </w:tr>
      <w:tr>
        <w:tc>
          <w:tcPr>
            <w:tcW w:type="dxa" w:w="794"/>
          </w:tcPr>
          <w:p>
            <w:pPr>
              <w:spacing w:after="20" w:before="20"/>
            </w:pPr>
            <w:r/>
            <w:r>
              <w:rPr>
                <w:rFonts w:ascii="游ゴシック" w:hAnsi="游ゴシック" w:eastAsia="游ゴシック"/>
                <w:b w:val="0"/>
                <w:sz w:val="18"/>
              </w:rPr>
              <w:t>1</w:t>
            </w:r>
          </w:p>
        </w:tc>
        <w:tc>
          <w:tcPr>
            <w:tcW w:type="dxa" w:w="1814"/>
          </w:tcPr>
          <w:p>
            <w:pPr>
              <w:spacing w:after="20" w:before="20"/>
            </w:pPr>
            <w:r/>
            <w:r>
              <w:rPr>
                <w:rFonts w:ascii="游ゴシック" w:hAnsi="游ゴシック" w:eastAsia="游ゴシック"/>
                <w:b w:val="0"/>
                <w:sz w:val="18"/>
              </w:rPr>
              <w:t>着手・資料整備</w:t>
            </w:r>
          </w:p>
        </w:tc>
        <w:tc>
          <w:tcPr>
            <w:tcW w:type="dxa" w:w="4082"/>
          </w:tcPr>
          <w:p>
            <w:pPr>
              <w:spacing w:after="20" w:before="20"/>
            </w:pPr>
            <w:r/>
            <w:r>
              <w:rPr>
                <w:rFonts w:ascii="游ゴシック" w:hAnsi="游ゴシック" w:eastAsia="游ゴシック"/>
                <w:b w:val="0"/>
                <w:sz w:val="18"/>
              </w:rPr>
              <w:t>進行中：基礎資料整理、論点・版管理。必要事項の一覧（8シート）に集約</w:t>
            </w:r>
          </w:p>
        </w:tc>
        <w:tc>
          <w:tcPr>
            <w:tcW w:type="dxa" w:w="3061"/>
          </w:tcPr>
          <w:p>
            <w:pPr>
              <w:spacing w:after="20" w:before="20"/>
            </w:pPr>
            <w:r/>
            <w:r>
              <w:rPr>
                <w:rFonts w:ascii="游ゴシック" w:hAnsi="游ゴシック" w:eastAsia="游ゴシック"/>
                <w:b w:val="0"/>
                <w:sz w:val="18"/>
              </w:rPr>
              <w:t>資料の受領、確認事項の解消</w:t>
            </w:r>
          </w:p>
        </w:tc>
      </w:tr>
      <w:tr>
        <w:tc>
          <w:tcPr>
            <w:tcW w:type="dxa" w:w="794"/>
          </w:tcPr>
          <w:p>
            <w:pPr>
              <w:spacing w:after="20" w:before="20"/>
            </w:pPr>
            <w:r/>
            <w:r>
              <w:rPr>
                <w:rFonts w:ascii="游ゴシック" w:hAnsi="游ゴシック" w:eastAsia="游ゴシック"/>
                <w:b w:val="0"/>
                <w:sz w:val="18"/>
              </w:rPr>
              <w:t>2</w:t>
            </w:r>
          </w:p>
        </w:tc>
        <w:tc>
          <w:tcPr>
            <w:tcW w:type="dxa" w:w="1814"/>
          </w:tcPr>
          <w:p>
            <w:pPr>
              <w:spacing w:after="20" w:before="20"/>
            </w:pPr>
            <w:r/>
            <w:r>
              <w:rPr>
                <w:rFonts w:ascii="游ゴシック" w:hAnsi="游ゴシック" w:eastAsia="游ゴシック"/>
                <w:b w:val="0"/>
                <w:sz w:val="18"/>
              </w:rPr>
              <w:t>第9期評価</w:t>
            </w:r>
          </w:p>
        </w:tc>
        <w:tc>
          <w:tcPr>
            <w:tcW w:type="dxa" w:w="4082"/>
          </w:tcPr>
          <w:p>
            <w:pPr>
              <w:spacing w:after="20" w:before="20"/>
            </w:pPr>
            <w:r/>
            <w:r>
              <w:rPr>
                <w:rFonts w:ascii="游ゴシック" w:hAnsi="游ゴシック" w:eastAsia="游ゴシック"/>
                <w:b w:val="0"/>
                <w:sz w:val="18"/>
              </w:rPr>
              <w:t>構造評価済：19施策中6施策は部分評価可能、13施策は指標不足。自己点検（レッドチームレビュー）で29件を指摘し、うち5件は資料の受領により指摘が的中したため評価の記述を訂正</w:t>
            </w:r>
          </w:p>
        </w:tc>
        <w:tc>
          <w:tcPr>
            <w:tcW w:type="dxa" w:w="3061"/>
          </w:tcPr>
          <w:p>
            <w:pPr>
              <w:spacing w:after="20" w:before="20"/>
            </w:pPr>
            <w:r/>
            <w:r>
              <w:rPr>
                <w:rFonts w:ascii="游ゴシック" w:hAnsi="游ゴシック" w:eastAsia="游ゴシック"/>
                <w:b w:val="0"/>
                <w:sz w:val="18"/>
              </w:rPr>
              <w:t>令和6～8年度実績を反映した達成度評価</w:t>
            </w:r>
          </w:p>
        </w:tc>
      </w:tr>
      <w:tr>
        <w:tc>
          <w:tcPr>
            <w:tcW w:type="dxa" w:w="794"/>
          </w:tcPr>
          <w:p>
            <w:pPr>
              <w:spacing w:after="20" w:before="20"/>
            </w:pPr>
            <w:r/>
            <w:r>
              <w:rPr>
                <w:rFonts w:ascii="游ゴシック" w:hAnsi="游ゴシック" w:eastAsia="游ゴシック"/>
                <w:b w:val="0"/>
                <w:sz w:val="18"/>
              </w:rPr>
              <w:t>3</w:t>
            </w:r>
          </w:p>
        </w:tc>
        <w:tc>
          <w:tcPr>
            <w:tcW w:type="dxa" w:w="1814"/>
          </w:tcPr>
          <w:p>
            <w:pPr>
              <w:spacing w:after="20" w:before="20"/>
            </w:pPr>
            <w:r/>
            <w:r>
              <w:rPr>
                <w:rFonts w:ascii="游ゴシック" w:hAnsi="游ゴシック" w:eastAsia="游ゴシック"/>
                <w:b w:val="0"/>
                <w:sz w:val="18"/>
              </w:rPr>
              <w:t>調査・地域分析</w:t>
            </w:r>
          </w:p>
        </w:tc>
        <w:tc>
          <w:tcPr>
            <w:tcW w:type="dxa" w:w="4082"/>
          </w:tcPr>
          <w:p>
            <w:pPr>
              <w:spacing w:after="20" w:before="20"/>
            </w:pPr>
            <w:r/>
            <w:r>
              <w:rPr>
                <w:rFonts w:ascii="游ゴシック" w:hAnsi="游ゴシック" w:eastAsia="游ゴシック"/>
                <w:b w:val="0"/>
                <w:sz w:val="18"/>
              </w:rPr>
              <w:t>健康とくらしの調査は個票4,729票を受領し分析完了。他3調査は第10期分102ファイルを受領し点検・集計済（点検事項32件、うち重大5件）</w:t>
            </w:r>
          </w:p>
        </w:tc>
        <w:tc>
          <w:tcPr>
            <w:tcW w:type="dxa" w:w="3061"/>
          </w:tcPr>
          <w:p>
            <w:pPr>
              <w:spacing w:after="20" w:before="20"/>
            </w:pPr>
            <w:r/>
            <w:r>
              <w:rPr>
                <w:rFonts w:ascii="游ゴシック" w:hAnsi="游ゴシック" w:eastAsia="游ゴシック"/>
                <w:b w:val="0"/>
                <w:sz w:val="18"/>
              </w:rPr>
              <w:t>点検事項の解消、4調査横断のクロス集計、地域課題</w:t>
            </w:r>
          </w:p>
        </w:tc>
      </w:tr>
      <w:tr>
        <w:tc>
          <w:tcPr>
            <w:tcW w:type="dxa" w:w="794"/>
          </w:tcPr>
          <w:p>
            <w:pPr>
              <w:spacing w:after="20" w:before="20"/>
            </w:pPr>
            <w:r/>
            <w:r>
              <w:rPr>
                <w:rFonts w:ascii="游ゴシック" w:hAnsi="游ゴシック" w:eastAsia="游ゴシック"/>
                <w:b w:val="0"/>
                <w:sz w:val="18"/>
              </w:rPr>
              <w:t>3の2</w:t>
            </w:r>
          </w:p>
        </w:tc>
        <w:tc>
          <w:tcPr>
            <w:tcW w:type="dxa" w:w="1814"/>
          </w:tcPr>
          <w:p>
            <w:pPr>
              <w:spacing w:after="20" w:before="20"/>
            </w:pPr>
            <w:r/>
            <w:r>
              <w:rPr>
                <w:rFonts w:ascii="游ゴシック" w:hAnsi="游ゴシック" w:eastAsia="游ゴシック"/>
                <w:b w:val="0"/>
                <w:sz w:val="18"/>
              </w:rPr>
              <w:t>施設・住まいの供給量</w:t>
            </w:r>
          </w:p>
        </w:tc>
        <w:tc>
          <w:tcPr>
            <w:tcW w:type="dxa" w:w="4082"/>
          </w:tcPr>
          <w:p>
            <w:pPr>
              <w:spacing w:after="20" w:before="20"/>
            </w:pPr>
            <w:r/>
            <w:r>
              <w:rPr>
                <w:rFonts w:ascii="游ゴシック" w:hAnsi="游ゴシック" w:eastAsia="游ゴシック"/>
                <w:b w:val="0"/>
                <w:sz w:val="18"/>
              </w:rPr>
              <w:t>北海道の名簿8種と公表システムの個別画面により、特定施設156人・住宅型有料223人・サ高住66戸・軽費50人・特養160人＋地域密着型62人・グループホーム99人を確定。居所変更実態調査には9施設が未回答</w:t>
            </w:r>
          </w:p>
        </w:tc>
        <w:tc>
          <w:tcPr>
            <w:tcW w:type="dxa" w:w="3061"/>
          </w:tcPr>
          <w:p>
            <w:pPr>
              <w:spacing w:after="20" w:before="20"/>
            </w:pPr>
            <w:r/>
            <w:r>
              <w:rPr>
                <w:rFonts w:ascii="游ゴシック" w:hAnsi="游ゴシック" w:eastAsia="游ゴシック"/>
                <w:b w:val="0"/>
                <w:sz w:val="18"/>
              </w:rPr>
              <w:t>供給量の数値の差し替え、未回答施設への照会の要否、グループホームくるみの郷の定員</w:t>
            </w:r>
          </w:p>
        </w:tc>
      </w:tr>
      <w:tr>
        <w:tc>
          <w:tcPr>
            <w:tcW w:type="dxa" w:w="794"/>
          </w:tcPr>
          <w:p>
            <w:pPr>
              <w:spacing w:after="20" w:before="20"/>
            </w:pPr>
            <w:r/>
            <w:r>
              <w:rPr>
                <w:rFonts w:ascii="游ゴシック" w:hAnsi="游ゴシック" w:eastAsia="游ゴシック"/>
                <w:b w:val="0"/>
                <w:sz w:val="18"/>
              </w:rPr>
              <w:t>4</w:t>
            </w:r>
          </w:p>
        </w:tc>
        <w:tc>
          <w:tcPr>
            <w:tcW w:type="dxa" w:w="1814"/>
          </w:tcPr>
          <w:p>
            <w:pPr>
              <w:spacing w:after="20" w:before="20"/>
            </w:pPr>
            <w:r/>
            <w:r>
              <w:rPr>
                <w:rFonts w:ascii="游ゴシック" w:hAnsi="游ゴシック" w:eastAsia="游ゴシック"/>
                <w:b w:val="0"/>
                <w:sz w:val="18"/>
              </w:rPr>
              <w:t>将来推計</w:t>
            </w:r>
          </w:p>
        </w:tc>
        <w:tc>
          <w:tcPr>
            <w:tcW w:type="dxa" w:w="4082"/>
          </w:tcPr>
          <w:p>
            <w:pPr>
              <w:spacing w:after="20" w:before="20"/>
            </w:pPr>
            <w:r/>
            <w:r>
              <w:rPr>
                <w:rFonts w:ascii="游ゴシック" w:hAnsi="游ゴシック" w:eastAsia="游ゴシック"/>
                <w:b w:val="0"/>
                <w:sz w:val="18"/>
              </w:rPr>
              <w:t>人口推計の基礎は社人研推計を受託者の案とし、これを仮に置いて第1段階（人口と認定者数）を試算。見える化B3・D45・D46系列の受領により第2段階（サービス見込量）も試算済（実績を1％未満の差で再現）</w:t>
            </w:r>
          </w:p>
        </w:tc>
        <w:tc>
          <w:tcPr>
            <w:tcW w:type="dxa" w:w="3061"/>
          </w:tcPr>
          <w:p>
            <w:pPr>
              <w:spacing w:after="20" w:before="20"/>
            </w:pPr>
            <w:r/>
            <w:r>
              <w:rPr>
                <w:rFonts w:ascii="游ゴシック" w:hAnsi="游ゴシック" w:eastAsia="游ゴシック"/>
                <w:b w:val="0"/>
                <w:sz w:val="18"/>
              </w:rPr>
              <w:t>利用率と1人当たり利用日数の置き方のご意向の確認、第3段階（給付費・保険料）</w:t>
            </w:r>
          </w:p>
        </w:tc>
      </w:tr>
      <w:tr>
        <w:tc>
          <w:tcPr>
            <w:tcW w:type="dxa" w:w="794"/>
          </w:tcPr>
          <w:p>
            <w:pPr>
              <w:spacing w:after="20" w:before="20"/>
            </w:pPr>
            <w:r/>
            <w:r>
              <w:rPr>
                <w:rFonts w:ascii="游ゴシック" w:hAnsi="游ゴシック" w:eastAsia="游ゴシック"/>
                <w:b w:val="0"/>
                <w:sz w:val="18"/>
              </w:rPr>
              <w:t>5</w:t>
            </w:r>
          </w:p>
        </w:tc>
        <w:tc>
          <w:tcPr>
            <w:tcW w:type="dxa" w:w="1814"/>
          </w:tcPr>
          <w:p>
            <w:pPr>
              <w:spacing w:after="20" w:before="20"/>
            </w:pPr>
            <w:r/>
            <w:r>
              <w:rPr>
                <w:rFonts w:ascii="游ゴシック" w:hAnsi="游ゴシック" w:eastAsia="游ゴシック"/>
                <w:b w:val="0"/>
                <w:sz w:val="18"/>
              </w:rPr>
              <w:t>骨子・計画案</w:t>
            </w:r>
          </w:p>
        </w:tc>
        <w:tc>
          <w:tcPr>
            <w:tcW w:type="dxa" w:w="4082"/>
          </w:tcPr>
          <w:p>
            <w:pPr>
              <w:spacing w:after="20" w:before="20"/>
            </w:pPr>
            <w:r/>
            <w:r>
              <w:rPr>
                <w:rFonts w:ascii="游ゴシック" w:hAnsi="游ゴシック" w:eastAsia="游ゴシック"/>
                <w:b w:val="0"/>
                <w:sz w:val="18"/>
              </w:rPr>
              <w:t>計画素案第10稿、5基本目標、代表KPIの定義を作成済</w:t>
            </w:r>
          </w:p>
        </w:tc>
        <w:tc>
          <w:tcPr>
            <w:tcW w:type="dxa" w:w="3061"/>
          </w:tcPr>
          <w:p>
            <w:pPr>
              <w:spacing w:after="20" w:before="20"/>
            </w:pPr>
            <w:r/>
            <w:r>
              <w:rPr>
                <w:rFonts w:ascii="游ゴシック" w:hAnsi="游ゴシック" w:eastAsia="游ゴシック"/>
                <w:b w:val="0"/>
                <w:sz w:val="18"/>
              </w:rPr>
              <w:t>委員会意見、実績及び調査結果を反映した計画第11稿</w:t>
            </w:r>
          </w:p>
        </w:tc>
      </w:tr>
      <w:tr>
        <w:tc>
          <w:tcPr>
            <w:tcW w:type="dxa" w:w="794"/>
          </w:tcPr>
          <w:p>
            <w:pPr>
              <w:spacing w:after="20" w:before="20"/>
            </w:pPr>
            <w:r/>
            <w:r>
              <w:rPr>
                <w:rFonts w:ascii="游ゴシック" w:hAnsi="游ゴシック" w:eastAsia="游ゴシック"/>
                <w:b w:val="0"/>
                <w:sz w:val="18"/>
              </w:rPr>
              <w:t>6</w:t>
            </w:r>
          </w:p>
        </w:tc>
        <w:tc>
          <w:tcPr>
            <w:tcW w:type="dxa" w:w="1814"/>
          </w:tcPr>
          <w:p>
            <w:pPr>
              <w:spacing w:after="20" w:before="20"/>
            </w:pPr>
            <w:r/>
            <w:r>
              <w:rPr>
                <w:rFonts w:ascii="游ゴシック" w:hAnsi="游ゴシック" w:eastAsia="游ゴシック"/>
                <w:b w:val="0"/>
                <w:sz w:val="18"/>
              </w:rPr>
              <w:t>サービス量・保険料</w:t>
            </w:r>
          </w:p>
        </w:tc>
        <w:tc>
          <w:tcPr>
            <w:tcW w:type="dxa" w:w="4082"/>
          </w:tcPr>
          <w:p>
            <w:pPr>
              <w:spacing w:after="20" w:before="20"/>
            </w:pPr>
            <w:r/>
            <w:r>
              <w:rPr>
                <w:rFonts w:ascii="游ゴシック" w:hAnsi="游ゴシック" w:eastAsia="游ゴシック"/>
                <w:b w:val="0"/>
                <w:sz w:val="18"/>
              </w:rPr>
              <w:t>自然体の長期推計値を確認済／採用値は未決定</w:t>
            </w:r>
          </w:p>
        </w:tc>
        <w:tc>
          <w:tcPr>
            <w:tcW w:type="dxa" w:w="3061"/>
          </w:tcPr>
          <w:p>
            <w:pPr>
              <w:spacing w:after="20" w:before="20"/>
            </w:pPr>
            <w:r/>
            <w:r>
              <w:rPr>
                <w:rFonts w:ascii="游ゴシック" w:hAnsi="游ゴシック" w:eastAsia="游ゴシック"/>
                <w:b w:val="0"/>
                <w:sz w:val="18"/>
              </w:rPr>
              <w:t>サービス見込量、基金・制度・供給条件別の保険料案</w:t>
            </w:r>
          </w:p>
        </w:tc>
      </w:tr>
      <w:tr>
        <w:tc>
          <w:tcPr>
            <w:tcW w:type="dxa" w:w="794"/>
          </w:tcPr>
          <w:p>
            <w:pPr>
              <w:spacing w:after="20" w:before="20"/>
            </w:pPr>
            <w:r/>
            <w:r>
              <w:rPr>
                <w:rFonts w:ascii="游ゴシック" w:hAnsi="游ゴシック" w:eastAsia="游ゴシック"/>
                <w:b w:val="0"/>
                <w:sz w:val="18"/>
              </w:rPr>
              <w:t>7</w:t>
            </w:r>
          </w:p>
        </w:tc>
        <w:tc>
          <w:tcPr>
            <w:tcW w:type="dxa" w:w="1814"/>
          </w:tcPr>
          <w:p>
            <w:pPr>
              <w:spacing w:after="20" w:before="20"/>
            </w:pPr>
            <w:r/>
            <w:r>
              <w:rPr>
                <w:rFonts w:ascii="游ゴシック" w:hAnsi="游ゴシック" w:eastAsia="游ゴシック"/>
                <w:b w:val="0"/>
                <w:sz w:val="18"/>
              </w:rPr>
              <w:t>協議・確定・納品</w:t>
            </w:r>
          </w:p>
        </w:tc>
        <w:tc>
          <w:tcPr>
            <w:tcW w:type="dxa" w:w="4082"/>
          </w:tcPr>
          <w:p>
            <w:pPr>
              <w:spacing w:after="20" w:before="20"/>
            </w:pPr>
            <w:r/>
            <w:r>
              <w:rPr>
                <w:rFonts w:ascii="游ゴシック" w:hAnsi="游ゴシック" w:eastAsia="游ゴシック"/>
                <w:b w:val="0"/>
                <w:sz w:val="18"/>
              </w:rPr>
              <w:t>第1回委員会資料・工程を準備済</w:t>
            </w:r>
          </w:p>
        </w:tc>
        <w:tc>
          <w:tcPr>
            <w:tcW w:type="dxa" w:w="3061"/>
          </w:tcPr>
          <w:p>
            <w:pPr>
              <w:spacing w:after="20" w:before="20"/>
            </w:pPr>
            <w:r/>
            <w:r>
              <w:rPr>
                <w:rFonts w:ascii="游ゴシック" w:hAnsi="游ゴシック" w:eastAsia="游ゴシック"/>
                <w:b w:val="0"/>
                <w:sz w:val="18"/>
              </w:rPr>
              <w:t>3町調整、委員会資料、パブコメ案、最終計画書</w:t>
            </w:r>
          </w:p>
        </w:tc>
      </w:tr>
    </w:tbl>
    <w:p>
      <w:pPr>
        <w:spacing w:after="80"/>
      </w:pPr>
    </w:p>
    <w:p>
      <w:pPr>
        <w:spacing w:before="240" w:after="100"/>
      </w:pPr>
      <w:r>
        <w:rPr>
          <w:rFonts w:ascii="游ゴシック" w:hAnsi="游ゴシック" w:eastAsia="游ゴシック"/>
          <w:b/>
          <w:color w:val="1F3864"/>
          <w:sz w:val="26"/>
        </w:rPr>
        <w:t>5. 第9期計画の評価方針</w:t>
      </w:r>
    </w:p>
    <w:p>
      <w:pPr>
        <w:spacing w:after="120" w:before="0" w:line="276" w:lineRule="auto"/>
      </w:pPr>
      <w:r>
        <w:rPr>
          <w:rFonts w:ascii="游ゴシック" w:hAnsi="游ゴシック" w:eastAsia="游ゴシック"/>
          <w:b w:val="0"/>
          <w:sz w:val="21"/>
        </w:rPr>
        <w:t>第9期計画の19施策を構造評価した結果、6施策は部分評価可能、13施策は指標不足と整理しました。達成度の最終判定は令和6～8年度実績・事業実績の受領後に行い、第10期ではKPIの定義、基準値、目標値、把握頻度及び責任主体を明記します。</w:t>
      </w:r>
    </w:p>
    <w:tbl>
      <w:tblPr>
        <w:tblStyle w:val="TableGrid"/>
        <w:tblW w:type="auto" w:w="0"/>
        <w:jc w:val="center"/>
        <w:tblLook w:firstColumn="1" w:firstRow="1" w:lastColumn="0" w:lastRow="0" w:noHBand="0" w:noVBand="1" w:val="04A0"/>
      </w:tblPr>
      <w:tblGrid>
        <w:gridCol w:w="3251"/>
        <w:gridCol w:w="3251"/>
        <w:gridCol w:w="3251"/>
      </w:tblGrid>
      <w:tr>
        <w:tc>
          <w:tcPr>
            <w:tcW w:type="dxa" w:w="1361"/>
            <w:shd w:val="clear" w:fill="1F3864"/>
          </w:tcPr>
          <w:p>
            <w:pPr>
              <w:spacing w:after="20" w:before="20"/>
            </w:pPr>
            <w:r/>
            <w:r>
              <w:rPr>
                <w:rFonts w:ascii="游ゴシック" w:hAnsi="游ゴシック" w:eastAsia="游ゴシック"/>
                <w:b/>
                <w:color w:val="FFFFFF"/>
                <w:sz w:val="18"/>
              </w:rPr>
              <w:t>評価軸</w:t>
            </w:r>
          </w:p>
        </w:tc>
        <w:tc>
          <w:tcPr>
            <w:tcW w:type="dxa" w:w="4535"/>
            <w:shd w:val="clear" w:fill="1F3864"/>
          </w:tcPr>
          <w:p>
            <w:pPr>
              <w:spacing w:after="20" w:before="20"/>
            </w:pPr>
            <w:r/>
            <w:r>
              <w:rPr>
                <w:rFonts w:ascii="游ゴシック" w:hAnsi="游ゴシック" w:eastAsia="游ゴシック"/>
                <w:b/>
                <w:color w:val="FFFFFF"/>
                <w:sz w:val="18"/>
              </w:rPr>
              <w:t>現時点の確認結果</w:t>
            </w:r>
          </w:p>
        </w:tc>
        <w:tc>
          <w:tcPr>
            <w:tcW w:type="dxa" w:w="3855"/>
            <w:shd w:val="clear" w:fill="1F3864"/>
          </w:tcPr>
          <w:p>
            <w:pPr>
              <w:spacing w:after="20" w:before="20"/>
            </w:pPr>
            <w:r/>
            <w:r>
              <w:rPr>
                <w:rFonts w:ascii="游ゴシック" w:hAnsi="游ゴシック" w:eastAsia="游ゴシック"/>
                <w:b/>
                <w:color w:val="FFFFFF"/>
                <w:sz w:val="18"/>
              </w:rPr>
              <w:t>第10期への反映</w:t>
            </w:r>
          </w:p>
        </w:tc>
      </w:tr>
      <w:tr>
        <w:tc>
          <w:tcPr>
            <w:tcW w:type="dxa" w:w="1361"/>
          </w:tcPr>
          <w:p>
            <w:pPr>
              <w:spacing w:after="20" w:before="20"/>
            </w:pPr>
            <w:r/>
            <w:r>
              <w:rPr>
                <w:rFonts w:ascii="游ゴシック" w:hAnsi="游ゴシック" w:eastAsia="游ゴシック"/>
                <w:b w:val="0"/>
                <w:sz w:val="18"/>
              </w:rPr>
              <w:t>人口・認定</w:t>
            </w:r>
          </w:p>
        </w:tc>
        <w:tc>
          <w:tcPr>
            <w:tcW w:type="dxa" w:w="4535"/>
          </w:tcPr>
          <w:p>
            <w:pPr>
              <w:spacing w:after="20" w:before="20"/>
            </w:pPr>
            <w:r/>
            <w:r>
              <w:rPr>
                <w:rFonts w:ascii="游ゴシック" w:hAnsi="游ゴシック" w:eastAsia="游ゴシック"/>
                <w:b w:val="0"/>
                <w:sz w:val="18"/>
              </w:rPr>
              <w:t>第10期期間中は65歳以上人口がほぼ横ばい（▲0.1％）。増えるのは80〜84歳と85歳以上のみ。85歳以上・認定者は令和22年度頃まで増加見込み</w:t>
            </w:r>
          </w:p>
        </w:tc>
        <w:tc>
          <w:tcPr>
            <w:tcW w:type="dxa" w:w="3855"/>
          </w:tcPr>
          <w:p>
            <w:pPr>
              <w:spacing w:after="20" w:before="20"/>
            </w:pPr>
            <w:r/>
            <w:r>
              <w:rPr>
                <w:rFonts w:ascii="游ゴシック" w:hAnsi="游ゴシック" w:eastAsia="游ゴシック"/>
                <w:b w:val="0"/>
                <w:sz w:val="18"/>
              </w:rPr>
              <w:t>短期と中長期を分けた需要・提供体制。認定率を年齢階級別に設定</w:t>
            </w:r>
          </w:p>
        </w:tc>
      </w:tr>
      <w:tr>
        <w:tc>
          <w:tcPr>
            <w:tcW w:type="dxa" w:w="1361"/>
          </w:tcPr>
          <w:p>
            <w:pPr>
              <w:spacing w:after="20" w:before="20"/>
            </w:pPr>
            <w:r/>
            <w:r>
              <w:rPr>
                <w:rFonts w:ascii="游ゴシック" w:hAnsi="游ゴシック" w:eastAsia="游ゴシック"/>
                <w:b w:val="0"/>
                <w:sz w:val="18"/>
              </w:rPr>
              <w:t>給付・利用</w:t>
            </w:r>
          </w:p>
        </w:tc>
        <w:tc>
          <w:tcPr>
            <w:tcW w:type="dxa" w:w="4535"/>
          </w:tcPr>
          <w:p>
            <w:pPr>
              <w:spacing w:after="20" w:before="20"/>
            </w:pPr>
            <w:r/>
            <w:r>
              <w:rPr>
                <w:rFonts w:ascii="游ゴシック" w:hAnsi="游ゴシック" w:eastAsia="游ゴシック"/>
                <w:b w:val="0"/>
                <w:sz w:val="18"/>
              </w:rPr>
              <w:t>給付月額指数1.08は全国を上回るが上川管内では8〜10位で中位に近い。平成21年度に管内1位であった給付月額は令和7年度12位となり、17年間の伸びは管内16位</w:t>
            </w:r>
          </w:p>
        </w:tc>
        <w:tc>
          <w:tcPr>
            <w:tcW w:type="dxa" w:w="3855"/>
          </w:tcPr>
          <w:p>
            <w:pPr>
              <w:spacing w:after="20" w:before="20"/>
            </w:pPr>
            <w:r/>
            <w:r>
              <w:rPr>
                <w:rFonts w:ascii="游ゴシック" w:hAnsi="游ゴシック" w:eastAsia="游ゴシック"/>
                <w:b w:val="0"/>
                <w:sz w:val="18"/>
              </w:rPr>
              <w:t>利用率、地域差、適正化、未充足需要。水準の高さと伸びの大きさを分けて評価</w:t>
            </w:r>
          </w:p>
        </w:tc>
      </w:tr>
      <w:tr>
        <w:tc>
          <w:tcPr>
            <w:tcW w:type="dxa" w:w="1361"/>
          </w:tcPr>
          <w:p>
            <w:pPr>
              <w:spacing w:after="20" w:before="20"/>
            </w:pPr>
            <w:r/>
            <w:r>
              <w:rPr>
                <w:rFonts w:ascii="游ゴシック" w:hAnsi="游ゴシック" w:eastAsia="游ゴシック"/>
                <w:b w:val="0"/>
                <w:sz w:val="18"/>
              </w:rPr>
              <w:t>基盤整備</w:t>
            </w:r>
          </w:p>
        </w:tc>
        <w:tc>
          <w:tcPr>
            <w:tcW w:type="dxa" w:w="4535"/>
          </w:tcPr>
          <w:p>
            <w:pPr>
              <w:spacing w:after="20" w:before="20"/>
            </w:pPr>
            <w:r/>
            <w:r>
              <w:rPr>
                <w:rFonts w:ascii="游ゴシック" w:hAnsi="游ゴシック" w:eastAsia="游ゴシック"/>
                <w:b w:val="0"/>
                <w:sz w:val="18"/>
              </w:rPr>
              <w:t>定員・受給率・自給率を確認済。3町の自給率（算定できる区分の単純平均）は63〜78％。施設・居住系では給付の23〜35％が区域外の事業所による</w:t>
            </w:r>
          </w:p>
        </w:tc>
        <w:tc>
          <w:tcPr>
            <w:tcW w:type="dxa" w:w="3855"/>
          </w:tcPr>
          <w:p>
            <w:pPr>
              <w:spacing w:after="20" w:before="20"/>
            </w:pPr>
            <w:r/>
            <w:r>
              <w:rPr>
                <w:rFonts w:ascii="游ゴシック" w:hAnsi="游ゴシック" w:eastAsia="游ゴシック"/>
                <w:b w:val="0"/>
                <w:sz w:val="18"/>
              </w:rPr>
              <w:t>整備方針と供給制約の反映。稼働・待機・受入不可は指定台帳又は施設への照会で把握</w:t>
            </w:r>
          </w:p>
        </w:tc>
      </w:tr>
      <w:tr>
        <w:tc>
          <w:tcPr>
            <w:tcW w:type="dxa" w:w="1361"/>
          </w:tcPr>
          <w:p>
            <w:pPr>
              <w:spacing w:after="20" w:before="20"/>
            </w:pPr>
            <w:r/>
            <w:r>
              <w:rPr>
                <w:rFonts w:ascii="游ゴシック" w:hAnsi="游ゴシック" w:eastAsia="游ゴシック"/>
                <w:b w:val="0"/>
                <w:sz w:val="18"/>
              </w:rPr>
              <w:t>地域支援事業</w:t>
            </w:r>
          </w:p>
        </w:tc>
        <w:tc>
          <w:tcPr>
            <w:tcW w:type="dxa" w:w="4535"/>
          </w:tcPr>
          <w:p>
            <w:pPr>
              <w:spacing w:after="20" w:before="20"/>
            </w:pPr>
            <w:r/>
            <w:r>
              <w:rPr>
                <w:rFonts w:ascii="游ゴシック" w:hAnsi="游ゴシック" w:eastAsia="游ゴシック"/>
                <w:b w:val="0"/>
                <w:sz w:val="18"/>
              </w:rPr>
              <w:t>第9期は成果指標・実績把握が不足する施策あり</w:t>
            </w:r>
          </w:p>
        </w:tc>
        <w:tc>
          <w:tcPr>
            <w:tcW w:type="dxa" w:w="3855"/>
          </w:tcPr>
          <w:p>
            <w:pPr>
              <w:spacing w:after="20" w:before="20"/>
            </w:pPr>
            <w:r/>
            <w:r>
              <w:rPr>
                <w:rFonts w:ascii="游ゴシック" w:hAnsi="游ゴシック" w:eastAsia="游ゴシック"/>
                <w:b w:val="0"/>
                <w:sz w:val="18"/>
              </w:rPr>
              <w:t>広域連合・3町の役割と成果KPI</w:t>
            </w:r>
          </w:p>
        </w:tc>
      </w:tr>
      <w:tr>
        <w:tc>
          <w:tcPr>
            <w:tcW w:type="dxa" w:w="1361"/>
          </w:tcPr>
          <w:p>
            <w:pPr>
              <w:spacing w:after="20" w:before="20"/>
            </w:pPr>
            <w:r/>
            <w:r>
              <w:rPr>
                <w:rFonts w:ascii="游ゴシック" w:hAnsi="游ゴシック" w:eastAsia="游ゴシック"/>
                <w:b w:val="0"/>
                <w:sz w:val="18"/>
              </w:rPr>
              <w:t>介護人材</w:t>
            </w:r>
          </w:p>
        </w:tc>
        <w:tc>
          <w:tcPr>
            <w:tcW w:type="dxa" w:w="4535"/>
          </w:tcPr>
          <w:p>
            <w:pPr>
              <w:spacing w:after="20" w:before="20"/>
            </w:pPr>
            <w:r/>
            <w:r>
              <w:rPr>
                <w:rFonts w:ascii="游ゴシック" w:hAnsi="游ゴシック" w:eastAsia="游ゴシック"/>
                <w:b w:val="0"/>
                <w:sz w:val="18"/>
              </w:rPr>
              <w:t>従事者数（見える化M系列）は把握済。15〜64歳人口は令和2年15,099人から令和22年11,492人へ23.9％減少</w:t>
            </w:r>
          </w:p>
        </w:tc>
        <w:tc>
          <w:tcPr>
            <w:tcW w:type="dxa" w:w="3855"/>
          </w:tcPr>
          <w:p>
            <w:pPr>
              <w:spacing w:after="20" w:before="20"/>
            </w:pPr>
            <w:r/>
            <w:r>
              <w:rPr>
                <w:rFonts w:ascii="游ゴシック" w:hAnsi="游ゴシック" w:eastAsia="游ゴシック"/>
                <w:b w:val="0"/>
                <w:sz w:val="18"/>
              </w:rPr>
              <w:t>人材・供給可能量・生産性の重点化。介護人材実態調査により介護職員348人（重複を除く）・介護福祉士67.1％・勤続1年未満19.9％・外国人職員11.6％を把握</w:t>
            </w:r>
          </w:p>
        </w:tc>
      </w:tr>
      <w:tr>
        <w:tc>
          <w:tcPr>
            <w:tcW w:type="dxa" w:w="1361"/>
          </w:tcPr>
          <w:p>
            <w:pPr>
              <w:spacing w:after="20" w:before="20"/>
            </w:pPr>
            <w:r/>
            <w:r>
              <w:rPr>
                <w:rFonts w:ascii="游ゴシック" w:hAnsi="游ゴシック" w:eastAsia="游ゴシック"/>
                <w:b w:val="0"/>
                <w:sz w:val="18"/>
              </w:rPr>
              <w:t>保険料・財政</w:t>
            </w:r>
          </w:p>
        </w:tc>
        <w:tc>
          <w:tcPr>
            <w:tcW w:type="dxa" w:w="4535"/>
          </w:tcPr>
          <w:p>
            <w:pPr>
              <w:spacing w:after="20" w:before="20"/>
            </w:pPr>
            <w:r/>
            <w:r>
              <w:rPr>
                <w:rFonts w:ascii="游ゴシック" w:hAnsi="游ゴシック" w:eastAsia="游ゴシック"/>
                <w:b w:val="0"/>
                <w:sz w:val="18"/>
              </w:rPr>
              <w:t>第9期は2年で月額385円の剰余（令和6・7年度は年度途中までの集計）。上川管内で剰余が生じている保険者は21のうち6</w:t>
            </w:r>
          </w:p>
        </w:tc>
        <w:tc>
          <w:tcPr>
            <w:tcW w:type="dxa" w:w="3855"/>
          </w:tcPr>
          <w:p>
            <w:pPr>
              <w:spacing w:after="20" w:before="20"/>
            </w:pPr>
            <w:r/>
            <w:r>
              <w:rPr>
                <w:rFonts w:ascii="游ゴシック" w:hAnsi="游ゴシック" w:eastAsia="游ゴシック"/>
                <w:b w:val="0"/>
                <w:sz w:val="18"/>
              </w:rPr>
              <w:t>採用シナリオ、基金、所得段階、変動要因</w:t>
            </w:r>
          </w:p>
        </w:tc>
      </w:tr>
      <w:tr>
        <w:tc>
          <w:tcPr>
            <w:tcW w:type="dxa" w:w="1361"/>
          </w:tcPr>
          <w:p>
            <w:pPr>
              <w:spacing w:after="20" w:before="20"/>
            </w:pPr>
            <w:r/>
            <w:r>
              <w:rPr>
                <w:rFonts w:ascii="游ゴシック" w:hAnsi="游ゴシック" w:eastAsia="游ゴシック"/>
                <w:b w:val="0"/>
                <w:sz w:val="18"/>
              </w:rPr>
              <w:t>KPI・進行管理</w:t>
            </w:r>
          </w:p>
        </w:tc>
        <w:tc>
          <w:tcPr>
            <w:tcW w:type="dxa" w:w="4535"/>
          </w:tcPr>
          <w:p>
            <w:pPr>
              <w:spacing w:after="20" w:before="20"/>
            </w:pPr>
            <w:r/>
            <w:r>
              <w:rPr>
                <w:rFonts w:ascii="游ゴシック" w:hAnsi="游ゴシック" w:eastAsia="游ゴシック"/>
                <w:b w:val="0"/>
                <w:sz w:val="18"/>
              </w:rPr>
              <w:t>本文KPI12、補完KPI4を設定。H01は見える化W144（9.25％）。第9期は6施策部分評価可能・13施策指標不足</w:t>
            </w:r>
          </w:p>
        </w:tc>
        <w:tc>
          <w:tcPr>
            <w:tcW w:type="dxa" w:w="3855"/>
          </w:tcPr>
          <w:p>
            <w:pPr>
              <w:spacing w:after="20" w:before="20"/>
            </w:pPr>
            <w:r/>
            <w:r>
              <w:rPr>
                <w:rFonts w:ascii="游ゴシック" w:hAnsi="游ゴシック" w:eastAsia="游ゴシック"/>
                <w:b w:val="0"/>
                <w:sz w:val="18"/>
              </w:rPr>
              <w:t>定義・基準値・目標値・頻度・担当を明記</w:t>
            </w:r>
          </w:p>
        </w:tc>
      </w:tr>
    </w:tbl>
    <w:p>
      <w:pPr>
        <w:spacing w:after="80"/>
      </w:pPr>
    </w:p>
    <w:p>
      <w:pPr>
        <w:spacing w:before="240" w:after="100"/>
      </w:pPr>
      <w:r>
        <w:rPr>
          <w:rFonts w:ascii="游ゴシック" w:hAnsi="游ゴシック" w:eastAsia="游ゴシック"/>
          <w:b/>
          <w:color w:val="1F3864"/>
          <w:sz w:val="22"/>
        </w:rPr>
        <w:t>第10期KPIの基本案</w:t>
      </w:r>
    </w:p>
    <w:tbl>
      <w:tblPr>
        <w:tblStyle w:val="TableGrid"/>
        <w:tblW w:type="auto" w:w="0"/>
        <w:jc w:val="center"/>
        <w:tblLook w:firstColumn="1" w:firstRow="1" w:lastColumn="0" w:lastRow="0" w:noHBand="0" w:noVBand="1" w:val="04A0"/>
      </w:tblPr>
      <w:tblGrid>
        <w:gridCol w:w="4876"/>
        <w:gridCol w:w="4876"/>
      </w:tblGrid>
      <w:tr>
        <w:tc>
          <w:tcPr>
            <w:tcW w:type="dxa" w:w="2041"/>
            <w:shd w:val="clear" w:fill="1F3864"/>
          </w:tcPr>
          <w:p>
            <w:pPr>
              <w:spacing w:after="20" w:before="20"/>
            </w:pPr>
            <w:r/>
            <w:r>
              <w:rPr>
                <w:rFonts w:ascii="游ゴシック" w:hAnsi="游ゴシック" w:eastAsia="游ゴシック"/>
                <w:b/>
                <w:color w:val="FFFFFF"/>
                <w:sz w:val="18"/>
              </w:rPr>
              <w:t>項目</w:t>
            </w:r>
          </w:p>
        </w:tc>
        <w:tc>
          <w:tcPr>
            <w:tcW w:type="dxa" w:w="7710"/>
            <w:shd w:val="clear" w:fill="1F3864"/>
          </w:tcPr>
          <w:p>
            <w:pPr>
              <w:spacing w:after="20" w:before="20"/>
            </w:pPr>
            <w:r/>
            <w:r>
              <w:rPr>
                <w:rFonts w:ascii="游ゴシック" w:hAnsi="游ゴシック" w:eastAsia="游ゴシック"/>
                <w:b/>
                <w:color w:val="FFFFFF"/>
                <w:sz w:val="18"/>
              </w:rPr>
              <w:t>内容</w:t>
            </w:r>
          </w:p>
        </w:tc>
      </w:tr>
      <w:tr>
        <w:tc>
          <w:tcPr>
            <w:tcW w:type="dxa" w:w="2041"/>
          </w:tcPr>
          <w:p>
            <w:pPr>
              <w:spacing w:after="20" w:before="20"/>
            </w:pPr>
            <w:r/>
            <w:r>
              <w:rPr>
                <w:rFonts w:ascii="游ゴシック" w:hAnsi="游ゴシック" w:eastAsia="游ゴシック"/>
                <w:b w:val="0"/>
                <w:sz w:val="18"/>
              </w:rPr>
              <w:t>構造</w:t>
            </w:r>
          </w:p>
        </w:tc>
        <w:tc>
          <w:tcPr>
            <w:tcW w:type="dxa" w:w="7710"/>
          </w:tcPr>
          <w:p>
            <w:pPr>
              <w:spacing w:after="20" w:before="20"/>
            </w:pPr>
            <w:r/>
            <w:r>
              <w:rPr>
                <w:rFonts w:ascii="游ゴシック" w:hAnsi="游ゴシック" w:eastAsia="游ゴシック"/>
                <w:b w:val="0"/>
                <w:sz w:val="18"/>
              </w:rPr>
              <w:t>本文KPI12項目、補完KPI4項目の二層構造（H01〜H16）。成果・活動・需給財政モニタリングを分ける</w:t>
            </w:r>
          </w:p>
        </w:tc>
      </w:tr>
      <w:tr>
        <w:tc>
          <w:tcPr>
            <w:tcW w:type="dxa" w:w="2041"/>
          </w:tcPr>
          <w:p>
            <w:pPr>
              <w:spacing w:after="20" w:before="20"/>
            </w:pPr>
            <w:r/>
            <w:r>
              <w:rPr>
                <w:rFonts w:ascii="游ゴシック" w:hAnsi="游ゴシック" w:eastAsia="游ゴシック"/>
                <w:b w:val="0"/>
                <w:sz w:val="18"/>
              </w:rPr>
              <w:t>指標の性格</w:t>
            </w:r>
          </w:p>
        </w:tc>
        <w:tc>
          <w:tcPr>
            <w:tcW w:type="dxa" w:w="7710"/>
          </w:tcPr>
          <w:p>
            <w:pPr>
              <w:spacing w:after="20" w:before="20"/>
            </w:pPr>
            <w:r/>
            <w:r>
              <w:rPr>
                <w:rFonts w:ascii="游ゴシック" w:hAnsi="游ゴシック" w:eastAsia="游ゴシック"/>
                <w:b w:val="0"/>
                <w:sz w:val="18"/>
              </w:rPr>
              <w:t>延べ人数・開催数だけでなく、実人数、到達率、継続率、生活成果、供給充足を確認する</w:t>
            </w:r>
          </w:p>
        </w:tc>
      </w:tr>
      <w:tr>
        <w:tc>
          <w:tcPr>
            <w:tcW w:type="dxa" w:w="2041"/>
          </w:tcPr>
          <w:p>
            <w:pPr>
              <w:spacing w:after="20" w:before="20"/>
            </w:pPr>
            <w:r/>
            <w:r>
              <w:rPr>
                <w:rFonts w:ascii="游ゴシック" w:hAnsi="游ゴシック" w:eastAsia="游ゴシック"/>
                <w:b w:val="0"/>
                <w:sz w:val="18"/>
              </w:rPr>
              <w:t>各指標に設定する事項</w:t>
            </w:r>
          </w:p>
        </w:tc>
        <w:tc>
          <w:tcPr>
            <w:tcW w:type="dxa" w:w="7710"/>
          </w:tcPr>
          <w:p>
            <w:pPr>
              <w:spacing w:after="20" w:before="20"/>
            </w:pPr>
            <w:r/>
            <w:r>
              <w:rPr>
                <w:rFonts w:ascii="游ゴシック" w:hAnsi="游ゴシック" w:eastAsia="游ゴシック"/>
                <w:b w:val="0"/>
                <w:sz w:val="18"/>
              </w:rPr>
              <w:t>定義、分子・分母、基準値、目標値、把握頻度、担当、未達時の対応</w:t>
            </w:r>
          </w:p>
        </w:tc>
      </w:tr>
      <w:tr>
        <w:tc>
          <w:tcPr>
            <w:tcW w:type="dxa" w:w="2041"/>
          </w:tcPr>
          <w:p>
            <w:pPr>
              <w:spacing w:after="20" w:before="20"/>
            </w:pPr>
            <w:r/>
            <w:r>
              <w:rPr>
                <w:rFonts w:ascii="游ゴシック" w:hAnsi="游ゴシック" w:eastAsia="游ゴシック"/>
                <w:b w:val="0"/>
                <w:sz w:val="18"/>
              </w:rPr>
              <w:t>H01の測定指標</w:t>
            </w:r>
          </w:p>
        </w:tc>
        <w:tc>
          <w:tcPr>
            <w:tcW w:type="dxa" w:w="7710"/>
          </w:tcPr>
          <w:p>
            <w:pPr>
              <w:spacing w:after="20" w:before="20"/>
            </w:pPr>
            <w:r/>
            <w:r>
              <w:rPr>
                <w:rFonts w:ascii="游ゴシック" w:hAnsi="游ゴシック" w:eastAsia="游ゴシック"/>
                <w:b w:val="0"/>
                <w:sz w:val="18"/>
              </w:rPr>
              <w:t>見える化W144（性・年齢調整済み要介護2以上認定率・9.25％）。第9稿までのB5-a【注目する地域のみ】18.4％は全国・北海道と比較できないため撤回した</w:t>
            </w:r>
          </w:p>
        </w:tc>
      </w:tr>
      <w:tr>
        <w:tc>
          <w:tcPr>
            <w:tcW w:type="dxa" w:w="2041"/>
          </w:tcPr>
          <w:p>
            <w:pPr>
              <w:spacing w:after="20" w:before="20"/>
            </w:pPr>
            <w:r/>
            <w:r>
              <w:rPr>
                <w:rFonts w:ascii="游ゴシック" w:hAnsi="游ゴシック" w:eastAsia="游ゴシック"/>
                <w:b w:val="0"/>
                <w:sz w:val="18"/>
              </w:rPr>
              <w:t>データ源が未確定の項目</w:t>
            </w:r>
          </w:p>
        </w:tc>
        <w:tc>
          <w:tcPr>
            <w:tcW w:type="dxa" w:w="7710"/>
          </w:tcPr>
          <w:p>
            <w:pPr>
              <w:spacing w:after="20" w:before="20"/>
            </w:pPr>
            <w:r/>
            <w:r>
              <w:rPr>
                <w:rFonts w:ascii="游ゴシック" w:hAnsi="游ゴシック" w:eastAsia="游ゴシック"/>
                <w:b w:val="0"/>
                <w:sz w:val="18"/>
              </w:rPr>
              <w:t>H07（介護者の負担）・H08（就労との両立）・H12（必要サービス未充足率）・H16（災害感染症時の継続率）の4項目は事業所を対象とする調査をデータ源としており、データ源の確定又は代理指標への振替えを要する</w:t>
            </w:r>
          </w:p>
        </w:tc>
      </w:tr>
    </w:tbl>
    <w:p>
      <w:pPr>
        <w:spacing w:after="80"/>
      </w:pPr>
    </w:p>
    <w:p>
      <w:pPr>
        <w:spacing w:before="240" w:after="100"/>
      </w:pPr>
      <w:r>
        <w:rPr>
          <w:rFonts w:ascii="游ゴシック" w:hAnsi="游ゴシック" w:eastAsia="游ゴシック"/>
          <w:b/>
          <w:color w:val="1F3864"/>
          <w:sz w:val="26"/>
        </w:rPr>
        <w:t>6. 調査結果の活用方針</w:t>
      </w:r>
    </w:p>
    <w:p>
      <w:pPr>
        <w:spacing w:after="120" w:before="0" w:line="276" w:lineRule="auto"/>
      </w:pPr>
      <w:r>
        <w:rPr>
          <w:rFonts w:ascii="游ゴシック" w:hAnsi="游ゴシック" w:eastAsia="游ゴシック"/>
          <w:b w:val="0"/>
          <w:sz w:val="21"/>
        </w:rPr>
        <w:t>仕様書４（3）が定める対象は、①在宅生活改善調査、②居所変更実態調査、③介護人材実態調査、④健康とくらしの調査の4調査です。仕様書は「新たなアンケート調査の企画、設計、配布、回収、入力及び督促は行わない」と定めているため、本業務では貸与資料に基づく集計・クロス集計・分析・課題整理・計画への反映を行います。</w:t>
      </w:r>
    </w:p>
    <w:p>
      <w:pPr>
        <w:spacing w:after="120" w:before="0" w:line="276" w:lineRule="auto"/>
      </w:pPr>
      <w:r>
        <w:rPr>
          <w:rFonts w:ascii="游ゴシック" w:hAnsi="游ゴシック" w:eastAsia="游ゴシック"/>
          <w:b w:val="0"/>
          <w:sz w:val="21"/>
        </w:rPr>
        <w:t>健康とくらしの調査は個票データ4,729票を受領し、町別・小学校区12地区別・年齢階級別の集計、年齢調整による地域比較、同規模保険者40との比較まで完了しています。他の3調査は、令和8年8月4日に第10期分を受領しました。在宅生活改善調査は事業所票15件・利用者票99票、居所変更実態調査は施設等票18件、介護人材実態調査は事業所票27件・職員個票317人・職員票26件です。点検の結果、集計方法を決めないと計画本文の数値が変わる事項が5件あります（別冊「実施済み3調査の受領点検と集計」）。</w:t>
      </w:r>
    </w:p>
    <w:p>
      <w:pPr>
        <w:spacing w:after="120" w:before="0" w:line="276" w:lineRule="auto"/>
      </w:pPr>
      <w:r>
        <w:rPr>
          <w:rFonts w:ascii="游ゴシック" w:hAnsi="游ゴシック" w:eastAsia="游ゴシック"/>
          <w:b w:val="0"/>
          <w:sz w:val="21"/>
        </w:rPr>
        <w:t>さらに、北海道の施設・住まいの名簿及び介護サービス情報公表システムとの突合により、居所変更実態調査に回答していない施設が9施設あることが分かりました。うち8施設は介護保険の指定を受けない住まい（住宅型有料老人ホーム6・サービス付き高齢者向け住宅1・軽費老人ホーム1）で、残る1施設は区域内最大の特定施設（さわやか東神楽館・定員100人）です。定員は名簿により確定できますが、入居者数は名簿になく、調査に回答した4施設分しか把握できていません（別冊「住まいと施設の公表名簿との突合」）。</w:t>
      </w:r>
    </w:p>
    <w:tbl>
      <w:tblPr>
        <w:tblStyle w:val="TableGrid"/>
        <w:tblW w:type="auto" w:w="0"/>
        <w:jc w:val="center"/>
        <w:tblLook w:firstColumn="1" w:firstRow="1" w:lastColumn="0" w:lastRow="0" w:noHBand="0" w:noVBand="1" w:val="04A0"/>
      </w:tblPr>
      <w:tblGrid>
        <w:gridCol w:w="3251"/>
        <w:gridCol w:w="3251"/>
        <w:gridCol w:w="3251"/>
      </w:tblGrid>
      <w:tr>
        <w:tc>
          <w:tcPr>
            <w:tcW w:type="dxa" w:w="1928"/>
            <w:shd w:val="clear" w:fill="1F3864"/>
          </w:tcPr>
          <w:p>
            <w:pPr>
              <w:spacing w:after="20" w:before="20"/>
            </w:pPr>
            <w:r/>
            <w:r>
              <w:rPr>
                <w:rFonts w:ascii="游ゴシック" w:hAnsi="游ゴシック" w:eastAsia="游ゴシック"/>
                <w:b/>
                <w:color w:val="FFFFFF"/>
                <w:sz w:val="18"/>
              </w:rPr>
              <w:t>調査・データ</w:t>
            </w:r>
          </w:p>
        </w:tc>
        <w:tc>
          <w:tcPr>
            <w:tcW w:type="dxa" w:w="4535"/>
            <w:shd w:val="clear" w:fill="1F3864"/>
          </w:tcPr>
          <w:p>
            <w:pPr>
              <w:spacing w:after="20" w:before="20"/>
            </w:pPr>
            <w:r/>
            <w:r>
              <w:rPr>
                <w:rFonts w:ascii="游ゴシック" w:hAnsi="游ゴシック" w:eastAsia="游ゴシック"/>
                <w:b/>
                <w:color w:val="FFFFFF"/>
                <w:sz w:val="18"/>
              </w:rPr>
              <w:t>現在の状況／主な分析視点</w:t>
            </w:r>
          </w:p>
        </w:tc>
        <w:tc>
          <w:tcPr>
            <w:tcW w:type="dxa" w:w="3288"/>
            <w:shd w:val="clear" w:fill="1F3864"/>
          </w:tcPr>
          <w:p>
            <w:pPr>
              <w:spacing w:after="20" w:before="20"/>
            </w:pPr>
            <w:r/>
            <w:r>
              <w:rPr>
                <w:rFonts w:ascii="游ゴシック" w:hAnsi="游ゴシック" w:eastAsia="游ゴシック"/>
                <w:b/>
                <w:color w:val="FFFFFF"/>
                <w:sz w:val="18"/>
              </w:rPr>
              <w:t>計画への活用</w:t>
            </w:r>
          </w:p>
        </w:tc>
      </w:tr>
      <w:tr>
        <w:tc>
          <w:tcPr>
            <w:tcW w:type="dxa" w:w="1928"/>
          </w:tcPr>
          <w:p>
            <w:pPr>
              <w:spacing w:after="20" w:before="20"/>
            </w:pPr>
            <w:r/>
            <w:r>
              <w:rPr>
                <w:rFonts w:ascii="游ゴシック" w:hAnsi="游ゴシック" w:eastAsia="游ゴシック"/>
                <w:b w:val="0"/>
                <w:sz w:val="18"/>
              </w:rPr>
              <w:t>健康とくらしの調査</w:t>
            </w:r>
          </w:p>
          <w:p>
            <w:pPr>
              <w:spacing w:after="20" w:before="0"/>
            </w:pPr>
            <w:r>
              <w:rPr>
                <w:rFonts w:ascii="游ゴシック" w:hAnsi="游ゴシック" w:eastAsia="游ゴシック"/>
                <w:b w:val="0"/>
                <w:sz w:val="18"/>
              </w:rPr>
              <w:t>（実施済・分析完了）</w:t>
            </w:r>
          </w:p>
        </w:tc>
        <w:tc>
          <w:tcPr>
            <w:tcW w:type="dxa" w:w="4535"/>
          </w:tcPr>
          <w:p>
            <w:pPr>
              <w:spacing w:after="20" w:before="20"/>
            </w:pPr>
            <w:r/>
            <w:r>
              <w:rPr>
                <w:rFonts w:ascii="游ゴシック" w:hAnsi="游ゴシック" w:eastAsia="游ゴシック"/>
                <w:b w:val="0"/>
                <w:sz w:val="18"/>
              </w:rPr>
              <w:t>個票4,729票を受領。町別、年齢別、小学校区12地区別、リスク該当、社会参加等を集計。同規模保険者40との比較も実施</w:t>
            </w:r>
          </w:p>
        </w:tc>
        <w:tc>
          <w:tcPr>
            <w:tcW w:type="dxa" w:w="3288"/>
          </w:tcPr>
          <w:p>
            <w:pPr>
              <w:spacing w:after="20" w:before="20"/>
            </w:pPr>
            <w:r/>
            <w:r>
              <w:rPr>
                <w:rFonts w:ascii="游ゴシック" w:hAnsi="游ゴシック" w:eastAsia="游ゴシック"/>
                <w:b w:val="0"/>
                <w:sz w:val="18"/>
              </w:rPr>
              <w:t>介護予防、通いの場、孤立、移動、生活支援</w:t>
            </w:r>
          </w:p>
        </w:tc>
      </w:tr>
      <w:tr>
        <w:tc>
          <w:tcPr>
            <w:tcW w:type="dxa" w:w="1928"/>
          </w:tcPr>
          <w:p>
            <w:pPr>
              <w:spacing w:after="20" w:before="20"/>
            </w:pPr>
            <w:r/>
            <w:r>
              <w:rPr>
                <w:rFonts w:ascii="游ゴシック" w:hAnsi="游ゴシック" w:eastAsia="游ゴシック"/>
                <w:b w:val="0"/>
                <w:sz w:val="18"/>
              </w:rPr>
              <w:t>在宅生活改善調査</w:t>
            </w:r>
          </w:p>
          <w:p>
            <w:pPr>
              <w:spacing w:after="20" w:before="0"/>
            </w:pPr>
            <w:r>
              <w:rPr>
                <w:rFonts w:ascii="游ゴシック" w:hAnsi="游ゴシック" w:eastAsia="游ゴシック"/>
                <w:b w:val="0"/>
                <w:sz w:val="18"/>
              </w:rPr>
              <w:t>居所変更実態調査</w:t>
            </w:r>
          </w:p>
          <w:p>
            <w:pPr>
              <w:spacing w:after="20" w:before="0"/>
            </w:pPr>
            <w:r>
              <w:rPr>
                <w:rFonts w:ascii="游ゴシック" w:hAnsi="游ゴシック" w:eastAsia="游ゴシック"/>
                <w:b w:val="0"/>
                <w:sz w:val="18"/>
              </w:rPr>
              <w:t>（第10期分を受領）</w:t>
            </w:r>
          </w:p>
        </w:tc>
        <w:tc>
          <w:tcPr>
            <w:tcW w:type="dxa" w:w="4535"/>
          </w:tcPr>
          <w:p>
            <w:pPr>
              <w:spacing w:after="20" w:before="20"/>
            </w:pPr>
            <w:r/>
            <w:r>
              <w:rPr>
                <w:rFonts w:ascii="游ゴシック" w:hAnsi="游ゴシック" w:eastAsia="游ゴシック"/>
                <w:b w:val="0"/>
                <w:sz w:val="18"/>
              </w:rPr>
              <w:t>在宅は事業所票15件・利用者票99票、居所変更は施設等票18件。施設への入所前の居場所は病院・診療所が57.0％、自宅が27.5％。退去先は病院・診療所47.0％、死亡27.2％、自宅12.3％</w:t>
            </w:r>
          </w:p>
        </w:tc>
        <w:tc>
          <w:tcPr>
            <w:tcW w:type="dxa" w:w="3288"/>
          </w:tcPr>
          <w:p>
            <w:pPr>
              <w:spacing w:after="20" w:before="20"/>
            </w:pPr>
            <w:r/>
            <w:r>
              <w:rPr>
                <w:rFonts w:ascii="游ゴシック" w:hAnsi="游ゴシック" w:eastAsia="游ゴシック"/>
                <w:b w:val="0"/>
                <w:sz w:val="18"/>
              </w:rPr>
              <w:t>在宅サービス、住まい、家族支援、医療介護連携。利用者票の所在地区は記入形式が不統一で地区別集計ができない</w:t>
            </w:r>
          </w:p>
        </w:tc>
      </w:tr>
      <w:tr>
        <w:tc>
          <w:tcPr>
            <w:tcW w:type="dxa" w:w="1928"/>
          </w:tcPr>
          <w:p>
            <w:pPr>
              <w:spacing w:after="20" w:before="20"/>
            </w:pPr>
            <w:r/>
            <w:r>
              <w:rPr>
                <w:rFonts w:ascii="游ゴシック" w:hAnsi="游ゴシック" w:eastAsia="游ゴシック"/>
                <w:b w:val="0"/>
                <w:sz w:val="18"/>
              </w:rPr>
              <w:t>介護人材実態調査</w:t>
            </w:r>
          </w:p>
          <w:p>
            <w:pPr>
              <w:spacing w:after="20" w:before="0"/>
            </w:pPr>
            <w:r>
              <w:rPr>
                <w:rFonts w:ascii="游ゴシック" w:hAnsi="游ゴシック" w:eastAsia="游ゴシック"/>
                <w:b w:val="0"/>
                <w:sz w:val="18"/>
              </w:rPr>
              <w:t>（第10期分を受領）</w:t>
            </w:r>
          </w:p>
        </w:tc>
        <w:tc>
          <w:tcPr>
            <w:tcW w:type="dxa" w:w="4535"/>
          </w:tcPr>
          <w:p>
            <w:pPr>
              <w:spacing w:after="20" w:before="20"/>
            </w:pPr>
            <w:r/>
            <w:r>
              <w:rPr>
                <w:rFonts w:ascii="游ゴシック" w:hAnsi="游ゴシック" w:eastAsia="游ゴシック"/>
                <w:b w:val="0"/>
                <w:sz w:val="18"/>
              </w:rPr>
              <w:t>事業所票27件・職員個票317人・職員票26件。介護職員348人（重複を除く）、介護福祉士67.1％、勤続1年未満19.9％、外国人職員11.6％、採用83人・離職65人</w:t>
            </w:r>
          </w:p>
        </w:tc>
        <w:tc>
          <w:tcPr>
            <w:tcW w:type="dxa" w:w="3288"/>
          </w:tcPr>
          <w:p>
            <w:pPr>
              <w:spacing w:after="20" w:before="20"/>
            </w:pPr>
            <w:r/>
            <w:r>
              <w:rPr>
                <w:rFonts w:ascii="游ゴシック" w:hAnsi="游ゴシック" w:eastAsia="游ゴシック"/>
                <w:b w:val="0"/>
                <w:sz w:val="18"/>
              </w:rPr>
              <w:t>人材確保、生産性。受入余力・受入不可・休廃止意向は本調査では把握できない</w:t>
            </w:r>
          </w:p>
        </w:tc>
      </w:tr>
      <w:tr>
        <w:tc>
          <w:tcPr>
            <w:tcW w:type="dxa" w:w="1928"/>
          </w:tcPr>
          <w:p>
            <w:pPr>
              <w:spacing w:after="20" w:before="20"/>
            </w:pPr>
            <w:r/>
            <w:r>
              <w:rPr>
                <w:rFonts w:ascii="游ゴシック" w:hAnsi="游ゴシック" w:eastAsia="游ゴシック"/>
                <w:b w:val="0"/>
                <w:sz w:val="18"/>
              </w:rPr>
              <w:t>行政・見える化データ</w:t>
            </w:r>
          </w:p>
          <w:p>
            <w:pPr>
              <w:spacing w:after="20" w:before="0"/>
            </w:pPr>
            <w:r>
              <w:rPr>
                <w:rFonts w:ascii="游ゴシック" w:hAnsi="游ゴシック" w:eastAsia="游ゴシック"/>
                <w:b w:val="0"/>
                <w:sz w:val="18"/>
              </w:rPr>
              <w:t>（受領済）</w:t>
            </w:r>
          </w:p>
        </w:tc>
        <w:tc>
          <w:tcPr>
            <w:tcW w:type="dxa" w:w="4535"/>
          </w:tcPr>
          <w:p>
            <w:pPr>
              <w:spacing w:after="20" w:before="20"/>
            </w:pPr>
            <w:r/>
            <w:r>
              <w:rPr>
                <w:rFonts w:ascii="游ゴシック" w:hAnsi="游ゴシック" w:eastAsia="游ゴシック"/>
                <w:b w:val="0"/>
                <w:sz w:val="18"/>
              </w:rPr>
              <w:t>人口（A系列）、認定（B系列）、受給・給付（D系列）、自給率（δ）、事業所数（K系列）、従事者数（M系列）、交付金評価（W系列）、保険料（C1）を時系列・地域比較</w:t>
            </w:r>
          </w:p>
        </w:tc>
        <w:tc>
          <w:tcPr>
            <w:tcW w:type="dxa" w:w="3288"/>
          </w:tcPr>
          <w:p>
            <w:pPr>
              <w:spacing w:after="20" w:before="20"/>
            </w:pPr>
            <w:r/>
            <w:r>
              <w:rPr>
                <w:rFonts w:ascii="游ゴシック" w:hAnsi="游ゴシック" w:eastAsia="游ゴシック"/>
                <w:b w:val="0"/>
                <w:sz w:val="18"/>
              </w:rPr>
              <w:t>現状評価、将来推計、サービス見込量、保険料、基盤整備</w:t>
            </w:r>
          </w:p>
        </w:tc>
      </w:tr>
    </w:tbl>
    <w:p>
      <w:pPr>
        <w:spacing w:after="80"/>
      </w:pPr>
    </w:p>
    <w:p>
      <w:pPr>
        <w:spacing w:after="120" w:before="0" w:line="276" w:lineRule="auto"/>
      </w:pPr>
      <w:r>
        <w:rPr>
          <w:rFonts w:ascii="游ゴシック" w:hAnsi="游ゴシック" w:eastAsia="游ゴシック"/>
          <w:b w:val="0"/>
          <w:sz w:val="20"/>
        </w:rPr>
        <w:t>なお、上表のうち受入余力・受入不可・休廃止縮小意向・ICT・BCPは、事業所を対象とする調査によらなければ把握できません。同調査は仕様書４（3）の対象4調査に含まれず、仕様書は受託者が新たな調査の企画・設計・配布・回収・入力及び督促を行わないと定めています。発注者において実施される予定があるか、実施される場合に受託者が集計・分析を行うか（業務範囲の追加となります）をご確認ください（12章及び別冊のヒアリングシート 項目1）。</w:t>
      </w:r>
    </w:p>
    <w:p>
      <w:pPr>
        <w:spacing w:after="120" w:before="0" w:line="276" w:lineRule="auto"/>
      </w:pPr>
      <w:r>
        <w:rPr>
          <w:rFonts w:ascii="游ゴシック" w:hAnsi="游ゴシック" w:eastAsia="游ゴシック"/>
          <w:b w:val="0"/>
          <w:sz w:val="20"/>
        </w:rPr>
        <w:t>調査結果の反映に関して確認したい事項（個票又は集計表の提供、町別・圏域別識別、少数値の公表基準、自由記述の取扱い、計画本文・委員会資料への掲載範囲）は、別冊のヒアリングシート 項目9・項目10に整理しています。</w:t>
      </w:r>
    </w:p>
    <w:p>
      <w:pPr>
        <w:spacing w:before="240" w:after="100"/>
      </w:pPr>
      <w:r>
        <w:rPr>
          <w:rFonts w:ascii="游ゴシック" w:hAnsi="游ゴシック" w:eastAsia="游ゴシック"/>
          <w:b/>
          <w:color w:val="1F3864"/>
          <w:sz w:val="26"/>
        </w:rPr>
        <w:t>7. 現状分析・将来推計と主要論点</w:t>
      </w:r>
    </w:p>
    <w:p>
      <w:pPr>
        <w:spacing w:after="120" w:before="0" w:line="276" w:lineRule="auto"/>
      </w:pPr>
      <w:r>
        <w:rPr>
          <w:rFonts w:ascii="游ゴシック" w:hAnsi="游ゴシック" w:eastAsia="游ゴシック"/>
          <w:b w:val="0"/>
          <w:sz w:val="21"/>
        </w:rPr>
        <w:t>人口推計の基礎について、受託者は社人研推計（見える化システムの初期値）をそのまま用いることを案としています。本日の会議でご意向を確認するまでは決定した事項ではないため、この案を作業上の前提として仮に置いたうえで、将来推計の第1段階（人口と認定者数）を試算しています。ご意向により基礎を変更する場合は、第1段階を再計算します。</w:t>
      </w:r>
    </w:p>
    <w:p>
      <w:pPr>
        <w:spacing w:after="120" w:before="0" w:line="276" w:lineRule="auto"/>
      </w:pPr>
      <w:r>
        <w:rPr>
          <w:rFonts w:ascii="游ゴシック" w:hAnsi="游ゴシック" w:eastAsia="游ゴシック"/>
          <w:b w:val="0"/>
          <w:sz w:val="21"/>
        </w:rPr>
        <w:t>階級別人口は、令和7年度の実績人口に社人研推計の階級別の伸び率を乗じて求めます。この方法により、基準年度（令和7年度）の認定者数の推計値は実績1,984人と一致します。第2稿で課題としていた自然体推計との起点差は、この方法により解消しました。</w:t>
      </w:r>
    </w:p>
    <w:tbl>
      <w:tblPr>
        <w:tblStyle w:val="TableGrid"/>
        <w:tblW w:type="auto" w:w="0"/>
        <w:jc w:val="center"/>
        <w:tblLook w:firstColumn="1" w:firstRow="1" w:lastColumn="0" w:lastRow="0" w:noHBand="0" w:noVBand="1" w:val="04A0"/>
      </w:tblPr>
      <w:tblGrid>
        <w:gridCol w:w="3251"/>
        <w:gridCol w:w="3251"/>
        <w:gridCol w:w="3251"/>
      </w:tblGrid>
      <w:tr>
        <w:tc>
          <w:tcPr>
            <w:tcW w:type="dxa" w:w="1361"/>
            <w:shd w:val="clear" w:fill="1F3864"/>
          </w:tcPr>
          <w:p>
            <w:pPr>
              <w:spacing w:after="20" w:before="20"/>
            </w:pPr>
            <w:r/>
            <w:r>
              <w:rPr>
                <w:rFonts w:ascii="游ゴシック" w:hAnsi="游ゴシック" w:eastAsia="游ゴシック"/>
                <w:b/>
                <w:color w:val="FFFFFF"/>
                <w:sz w:val="18"/>
              </w:rPr>
              <w:t>分析領域</w:t>
            </w:r>
          </w:p>
        </w:tc>
        <w:tc>
          <w:tcPr>
            <w:tcW w:type="dxa" w:w="4195"/>
            <w:shd w:val="clear" w:fill="1F3864"/>
          </w:tcPr>
          <w:p>
            <w:pPr>
              <w:spacing w:after="20" w:before="20"/>
            </w:pPr>
            <w:r/>
            <w:r>
              <w:rPr>
                <w:rFonts w:ascii="游ゴシック" w:hAnsi="游ゴシック" w:eastAsia="游ゴシック"/>
                <w:b/>
                <w:color w:val="FFFFFF"/>
                <w:sz w:val="18"/>
              </w:rPr>
              <w:t>現時点の材料</w:t>
            </w:r>
          </w:p>
        </w:tc>
        <w:tc>
          <w:tcPr>
            <w:tcW w:type="dxa" w:w="4195"/>
            <w:shd w:val="clear" w:fill="1F3864"/>
          </w:tcPr>
          <w:p>
            <w:pPr>
              <w:spacing w:after="20" w:before="20"/>
            </w:pPr>
            <w:r/>
            <w:r>
              <w:rPr>
                <w:rFonts w:ascii="游ゴシック" w:hAnsi="游ゴシック" w:eastAsia="游ゴシック"/>
                <w:b/>
                <w:color w:val="FFFFFF"/>
                <w:sz w:val="18"/>
              </w:rPr>
              <w:t>次に確認する論点</w:t>
            </w:r>
          </w:p>
        </w:tc>
      </w:tr>
      <w:tr>
        <w:tc>
          <w:tcPr>
            <w:tcW w:type="dxa" w:w="1361"/>
          </w:tcPr>
          <w:p>
            <w:pPr>
              <w:spacing w:after="20" w:before="20"/>
            </w:pPr>
            <w:r/>
            <w:r>
              <w:rPr>
                <w:rFonts w:ascii="游ゴシック" w:hAnsi="游ゴシック" w:eastAsia="游ゴシック"/>
                <w:b w:val="0"/>
                <w:sz w:val="18"/>
              </w:rPr>
              <w:t>人口・世帯</w:t>
            </w:r>
          </w:p>
        </w:tc>
        <w:tc>
          <w:tcPr>
            <w:tcW w:type="dxa" w:w="4195"/>
          </w:tcPr>
          <w:p>
            <w:pPr>
              <w:spacing w:after="20" w:before="20"/>
            </w:pPr>
            <w:r/>
            <w:r>
              <w:rPr>
                <w:rFonts w:ascii="游ゴシック" w:hAnsi="游ゴシック" w:eastAsia="游ゴシック"/>
                <w:b w:val="0"/>
                <w:sz w:val="18"/>
              </w:rPr>
              <w:t>見える化A系列（2000〜2050年）。第10期期間中は総人口▲3.3％、65歳以上▲0.1％、85歳以上＋4.1％</w:t>
            </w:r>
          </w:p>
        </w:tc>
        <w:tc>
          <w:tcPr>
            <w:tcW w:type="dxa" w:w="4195"/>
          </w:tcPr>
          <w:p>
            <w:pPr>
              <w:spacing w:after="20" w:before="20"/>
            </w:pPr>
            <w:r/>
            <w:r>
              <w:rPr>
                <w:rFonts w:ascii="游ゴシック" w:hAnsi="游ゴシック" w:eastAsia="游ゴシック"/>
                <w:b w:val="0"/>
                <w:sz w:val="18"/>
              </w:rPr>
              <w:t>町別の実績との突合、3町差、85歳以上の増加期の具体化</w:t>
            </w:r>
          </w:p>
        </w:tc>
      </w:tr>
      <w:tr>
        <w:tc>
          <w:tcPr>
            <w:tcW w:type="dxa" w:w="1361"/>
          </w:tcPr>
          <w:p>
            <w:pPr>
              <w:spacing w:after="20" w:before="20"/>
            </w:pPr>
            <w:r/>
            <w:r>
              <w:rPr>
                <w:rFonts w:ascii="游ゴシック" w:hAnsi="游ゴシック" w:eastAsia="游ゴシック"/>
                <w:b w:val="0"/>
                <w:sz w:val="18"/>
              </w:rPr>
              <w:t>認定・給付</w:t>
            </w:r>
          </w:p>
        </w:tc>
        <w:tc>
          <w:tcPr>
            <w:tcW w:type="dxa" w:w="4195"/>
          </w:tcPr>
          <w:p>
            <w:pPr>
              <w:spacing w:after="20" w:before="20"/>
            </w:pPr>
            <w:r/>
            <w:r>
              <w:rPr>
                <w:rFonts w:ascii="游ゴシック" w:hAnsi="游ゴシック" w:eastAsia="游ゴシック"/>
                <w:b w:val="0"/>
                <w:sz w:val="18"/>
              </w:rPr>
              <w:t>認定者1,984人（令和8年3月末）、性・年齢調整済み要介護2以上認定率（W144）9.25％（令和5年）、第1号被保険者1人当たり給付月額26,885円（令和7年度）</w:t>
            </w:r>
          </w:p>
        </w:tc>
        <w:tc>
          <w:tcPr>
            <w:tcW w:type="dxa" w:w="4195"/>
          </w:tcPr>
          <w:p>
            <w:pPr>
              <w:spacing w:after="20" w:before="20"/>
            </w:pPr>
            <w:r/>
            <w:r>
              <w:rPr>
                <w:rFonts w:ascii="游ゴシック" w:hAnsi="游ゴシック" w:eastAsia="游ゴシック"/>
                <w:b w:val="0"/>
                <w:sz w:val="18"/>
              </w:rPr>
              <w:t>要介護度別・サービス別、町別、計画・実績の同時点比較</w:t>
            </w:r>
          </w:p>
        </w:tc>
      </w:tr>
      <w:tr>
        <w:tc>
          <w:tcPr>
            <w:tcW w:type="dxa" w:w="1361"/>
          </w:tcPr>
          <w:p>
            <w:pPr>
              <w:spacing w:after="20" w:before="20"/>
            </w:pPr>
            <w:r/>
            <w:r>
              <w:rPr>
                <w:rFonts w:ascii="游ゴシック" w:hAnsi="游ゴシック" w:eastAsia="游ゴシック"/>
                <w:b w:val="0"/>
                <w:sz w:val="18"/>
              </w:rPr>
              <w:t>供給体制</w:t>
            </w:r>
          </w:p>
        </w:tc>
        <w:tc>
          <w:tcPr>
            <w:tcW w:type="dxa" w:w="4195"/>
          </w:tcPr>
          <w:p>
            <w:pPr>
              <w:spacing w:after="20" w:before="20"/>
            </w:pPr>
            <w:r/>
            <w:r>
              <w:rPr>
                <w:rFonts w:ascii="游ゴシック" w:hAnsi="游ゴシック" w:eastAsia="游ゴシック"/>
                <w:b w:val="0"/>
                <w:sz w:val="18"/>
              </w:rPr>
              <w:t>定員、受給率、自給率、利用強度。訪問介護の受給者1人当たり利用回数55.4回／月（全国29.7回の1.87倍）。地域密着型介護老人福祉施設は定員62人に対し自然体推計の令和8年度基準値の利用者65人（104.8％）</w:t>
            </w:r>
          </w:p>
        </w:tc>
        <w:tc>
          <w:tcPr>
            <w:tcW w:type="dxa" w:w="4195"/>
          </w:tcPr>
          <w:p>
            <w:pPr>
              <w:spacing w:after="20" w:before="20"/>
            </w:pPr>
            <w:r/>
            <w:r>
              <w:rPr>
                <w:rFonts w:ascii="游ゴシック" w:hAnsi="游ゴシック" w:eastAsia="游ゴシック"/>
                <w:b w:val="0"/>
                <w:sz w:val="18"/>
              </w:rPr>
              <w:t>上記の比率は基準時点・対象範囲が異なるためスクリーニング値であり、正式な入所率・稼働率は指定台帳又は施設への照会により把握する。町外利用、受入不可、休廃止・縮小意向</w:t>
            </w:r>
          </w:p>
        </w:tc>
      </w:tr>
      <w:tr>
        <w:tc>
          <w:tcPr>
            <w:tcW w:type="dxa" w:w="1361"/>
          </w:tcPr>
          <w:p>
            <w:pPr>
              <w:spacing w:after="20" w:before="20"/>
            </w:pPr>
            <w:r/>
            <w:r>
              <w:rPr>
                <w:rFonts w:ascii="游ゴシック" w:hAnsi="游ゴシック" w:eastAsia="游ゴシック"/>
                <w:b w:val="0"/>
                <w:sz w:val="18"/>
              </w:rPr>
              <w:t>地域支援</w:t>
            </w:r>
          </w:p>
        </w:tc>
        <w:tc>
          <w:tcPr>
            <w:tcW w:type="dxa" w:w="4195"/>
          </w:tcPr>
          <w:p>
            <w:pPr>
              <w:spacing w:after="20" w:before="20"/>
            </w:pPr>
            <w:r/>
            <w:r>
              <w:rPr>
                <w:rFonts w:ascii="游ゴシック" w:hAnsi="游ゴシック" w:eastAsia="游ゴシック"/>
                <w:b w:val="0"/>
                <w:sz w:val="18"/>
              </w:rPr>
              <w:t>第9期計画、健康とくらしの調査、3町高齢者福祉計画</w:t>
            </w:r>
          </w:p>
        </w:tc>
        <w:tc>
          <w:tcPr>
            <w:tcW w:type="dxa" w:w="4195"/>
          </w:tcPr>
          <w:p>
            <w:pPr>
              <w:spacing w:after="20" w:before="20"/>
            </w:pPr>
            <w:r/>
            <w:r>
              <w:rPr>
                <w:rFonts w:ascii="游ゴシック" w:hAnsi="游ゴシック" w:eastAsia="游ゴシック"/>
                <w:b w:val="0"/>
                <w:sz w:val="18"/>
              </w:rPr>
              <w:t>参加格差、担い手、町施策と広域計画の接続</w:t>
            </w:r>
          </w:p>
        </w:tc>
      </w:tr>
      <w:tr>
        <w:tc>
          <w:tcPr>
            <w:tcW w:type="dxa" w:w="1361"/>
          </w:tcPr>
          <w:p>
            <w:pPr>
              <w:spacing w:after="20" w:before="20"/>
            </w:pPr>
            <w:r/>
            <w:r>
              <w:rPr>
                <w:rFonts w:ascii="游ゴシック" w:hAnsi="游ゴシック" w:eastAsia="游ゴシック"/>
                <w:b w:val="0"/>
                <w:sz w:val="18"/>
              </w:rPr>
              <w:t>介護人材</w:t>
            </w:r>
          </w:p>
        </w:tc>
        <w:tc>
          <w:tcPr>
            <w:tcW w:type="dxa" w:w="4195"/>
          </w:tcPr>
          <w:p>
            <w:pPr>
              <w:spacing w:after="20" w:before="20"/>
            </w:pPr>
            <w:r/>
            <w:r>
              <w:rPr>
                <w:rFonts w:ascii="游ゴシック" w:hAnsi="游ゴシック" w:eastAsia="游ゴシック"/>
                <w:b w:val="0"/>
                <w:sz w:val="18"/>
              </w:rPr>
              <w:t>見える化M系列（従事者数13サービス）、15〜64歳人口の推移</w:t>
            </w:r>
          </w:p>
        </w:tc>
        <w:tc>
          <w:tcPr>
            <w:tcW w:type="dxa" w:w="4195"/>
          </w:tcPr>
          <w:p>
            <w:pPr>
              <w:spacing w:after="20" w:before="20"/>
            </w:pPr>
            <w:r/>
            <w:r>
              <w:rPr>
                <w:rFonts w:ascii="游ゴシック" w:hAnsi="游ゴシック" w:eastAsia="游ゴシック"/>
                <w:b w:val="0"/>
                <w:sz w:val="18"/>
              </w:rPr>
              <w:t>職種別不足、採用・離職、年齢、ICT、生産性、BCP</w:t>
            </w:r>
          </w:p>
        </w:tc>
      </w:tr>
      <w:tr>
        <w:tc>
          <w:tcPr>
            <w:tcW w:type="dxa" w:w="1361"/>
          </w:tcPr>
          <w:p>
            <w:pPr>
              <w:spacing w:after="20" w:before="20"/>
            </w:pPr>
            <w:r/>
            <w:r>
              <w:rPr>
                <w:rFonts w:ascii="游ゴシック" w:hAnsi="游ゴシック" w:eastAsia="游ゴシック"/>
                <w:b w:val="0"/>
                <w:sz w:val="18"/>
              </w:rPr>
              <w:t>財政・保険料</w:t>
            </w:r>
          </w:p>
        </w:tc>
        <w:tc>
          <w:tcPr>
            <w:tcW w:type="dxa" w:w="4195"/>
          </w:tcPr>
          <w:p>
            <w:pPr>
              <w:spacing w:after="20" w:before="20"/>
            </w:pPr>
            <w:r/>
            <w:r>
              <w:rPr>
                <w:rFonts w:ascii="游ゴシック" w:hAnsi="游ゴシック" w:eastAsia="游ゴシック"/>
                <w:b w:val="0"/>
                <w:sz w:val="18"/>
              </w:rPr>
              <w:t>第10期給付費92.67億円、自然体保険料6,238円（いずれも第2稿までの自然体推計による参考値）。現行基準額6,400円。令和7年度の必要保険料月額6,352円</w:t>
            </w:r>
          </w:p>
        </w:tc>
        <w:tc>
          <w:tcPr>
            <w:tcW w:type="dxa" w:w="4195"/>
          </w:tcPr>
          <w:p>
            <w:pPr>
              <w:spacing w:after="20" w:before="20"/>
            </w:pPr>
            <w:r/>
            <w:r>
              <w:rPr>
                <w:rFonts w:ascii="游ゴシック" w:hAnsi="游ゴシック" w:eastAsia="游ゴシック"/>
                <w:b w:val="0"/>
                <w:sz w:val="18"/>
              </w:rPr>
              <w:t>第2段階・第3段階の完了後に再算定する。基金、収納率、所得段階、制度・報酬、需要・供給条件別の幅</w:t>
            </w:r>
          </w:p>
        </w:tc>
      </w:tr>
    </w:tbl>
    <w:p>
      <w:pPr>
        <w:spacing w:after="80"/>
      </w:pPr>
    </w:p>
    <w:p>
      <w:pPr>
        <w:spacing w:before="240" w:after="100"/>
      </w:pPr>
      <w:r>
        <w:rPr>
          <w:rFonts w:ascii="游ゴシック" w:hAnsi="游ゴシック" w:eastAsia="游ゴシック"/>
          <w:b/>
          <w:color w:val="1F3864"/>
          <w:sz w:val="22"/>
        </w:rPr>
        <w:t>認定者数の推計（第1段階の結果）</w:t>
      </w:r>
    </w:p>
    <w:p>
      <w:pPr>
        <w:spacing w:after="120" w:before="0" w:line="276" w:lineRule="auto"/>
      </w:pPr>
      <w:r>
        <w:rPr>
          <w:rFonts w:ascii="游ゴシック" w:hAnsi="游ゴシック" w:eastAsia="游ゴシック"/>
          <w:b w:val="0"/>
          <w:sz w:val="20"/>
        </w:rPr>
        <w:t>階級別認定率の置き方について3つのシナリオを算定しました。いずれを採用するかをご決定ください（別冊のヒアリングシート 項目6）。</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61"/>
            <w:shd w:val="clear" w:fill="1F3864"/>
          </w:tcPr>
          <w:p>
            <w:pPr>
              <w:spacing w:after="20" w:before="20"/>
            </w:pPr>
            <w:r/>
            <w:r>
              <w:rPr>
                <w:rFonts w:ascii="游ゴシック" w:hAnsi="游ゴシック" w:eastAsia="游ゴシック"/>
                <w:b/>
                <w:color w:val="FFFFFF"/>
                <w:sz w:val="18"/>
              </w:rPr>
              <w:t>置き方</w:t>
            </w:r>
          </w:p>
        </w:tc>
        <w:tc>
          <w:tcPr>
            <w:tcW w:type="dxa" w:w="3628"/>
            <w:shd w:val="clear" w:fill="1F3864"/>
          </w:tcPr>
          <w:p>
            <w:pPr>
              <w:spacing w:after="20" w:before="20"/>
            </w:pPr>
            <w:r/>
            <w:r>
              <w:rPr>
                <w:rFonts w:ascii="游ゴシック" w:hAnsi="游ゴシック" w:eastAsia="游ゴシック"/>
                <w:b/>
                <w:color w:val="FFFFFF"/>
                <w:sz w:val="18"/>
              </w:rPr>
              <w:t>内容</w:t>
            </w:r>
          </w:p>
        </w:tc>
        <w:tc>
          <w:tcPr>
            <w:tcW w:type="dxa" w:w="964"/>
            <w:shd w:val="clear" w:fill="1F3864"/>
          </w:tcPr>
          <w:p>
            <w:pPr>
              <w:spacing w:after="20" w:before="20"/>
            </w:pPr>
            <w:r/>
            <w:r>
              <w:rPr>
                <w:rFonts w:ascii="游ゴシック" w:hAnsi="游ゴシック" w:eastAsia="游ゴシック"/>
                <w:b/>
                <w:color w:val="FFFFFF"/>
                <w:sz w:val="18"/>
              </w:rPr>
              <w:t>R9</w:t>
            </w:r>
          </w:p>
        </w:tc>
        <w:tc>
          <w:tcPr>
            <w:tcW w:type="dxa" w:w="964"/>
            <w:shd w:val="clear" w:fill="1F3864"/>
          </w:tcPr>
          <w:p>
            <w:pPr>
              <w:spacing w:after="20" w:before="20"/>
            </w:pPr>
            <w:r/>
            <w:r>
              <w:rPr>
                <w:rFonts w:ascii="游ゴシック" w:hAnsi="游ゴシック" w:eastAsia="游ゴシック"/>
                <w:b/>
                <w:color w:val="FFFFFF"/>
                <w:sz w:val="18"/>
              </w:rPr>
              <w:t>R10</w:t>
            </w:r>
          </w:p>
        </w:tc>
        <w:tc>
          <w:tcPr>
            <w:tcW w:type="dxa" w:w="964"/>
            <w:shd w:val="clear" w:fill="1F3864"/>
          </w:tcPr>
          <w:p>
            <w:pPr>
              <w:spacing w:after="20" w:before="20"/>
            </w:pPr>
            <w:r/>
            <w:r>
              <w:rPr>
                <w:rFonts w:ascii="游ゴシック" w:hAnsi="游ゴシック" w:eastAsia="游ゴシック"/>
                <w:b/>
                <w:color w:val="FFFFFF"/>
                <w:sz w:val="18"/>
              </w:rPr>
              <w:t>R11</w:t>
            </w:r>
          </w:p>
        </w:tc>
        <w:tc>
          <w:tcPr>
            <w:tcW w:type="dxa" w:w="1077"/>
            <w:shd w:val="clear" w:fill="1F3864"/>
          </w:tcPr>
          <w:p>
            <w:pPr>
              <w:spacing w:after="20" w:before="20"/>
            </w:pPr>
            <w:r/>
            <w:r>
              <w:rPr>
                <w:rFonts w:ascii="游ゴシック" w:hAnsi="游ゴシック" w:eastAsia="游ゴシック"/>
                <w:b/>
                <w:color w:val="FFFFFF"/>
                <w:sz w:val="18"/>
              </w:rPr>
              <w:t>3年計</w:t>
            </w:r>
          </w:p>
        </w:tc>
        <w:tc>
          <w:tcPr>
            <w:tcW w:type="dxa" w:w="964"/>
            <w:shd w:val="clear" w:fill="1F3864"/>
          </w:tcPr>
          <w:p>
            <w:pPr>
              <w:spacing w:after="20" w:before="20"/>
            </w:pPr>
            <w:r/>
            <w:r>
              <w:rPr>
                <w:rFonts w:ascii="游ゴシック" w:hAnsi="游ゴシック" w:eastAsia="游ゴシック"/>
                <w:b/>
                <w:color w:val="FFFFFF"/>
                <w:sz w:val="18"/>
              </w:rPr>
              <w:t>R22</w:t>
            </w:r>
          </w:p>
        </w:tc>
      </w:tr>
      <w:tr>
        <w:tc>
          <w:tcPr>
            <w:tcW w:type="dxa" w:w="1361"/>
          </w:tcPr>
          <w:p>
            <w:pPr>
              <w:spacing w:after="20" w:before="20"/>
            </w:pPr>
            <w:r/>
            <w:r>
              <w:rPr>
                <w:rFonts w:ascii="游ゴシック" w:hAnsi="游ゴシック" w:eastAsia="游ゴシック"/>
                <w:b w:val="0"/>
                <w:sz w:val="18"/>
              </w:rPr>
              <w:t>① 現状固定</w:t>
            </w:r>
          </w:p>
        </w:tc>
        <w:tc>
          <w:tcPr>
            <w:tcW w:type="dxa" w:w="3628"/>
          </w:tcPr>
          <w:p>
            <w:pPr>
              <w:spacing w:after="20" w:before="20"/>
            </w:pPr>
            <w:r/>
            <w:r>
              <w:rPr>
                <w:rFonts w:ascii="游ゴシック" w:hAnsi="游ゴシック" w:eastAsia="游ゴシック"/>
                <w:b w:val="0"/>
                <w:sz w:val="18"/>
              </w:rPr>
              <w:t>令和8年3月末の認定率をそのまま固定する</w:t>
            </w:r>
          </w:p>
        </w:tc>
        <w:tc>
          <w:tcPr>
            <w:tcW w:type="dxa" w:w="964"/>
          </w:tcPr>
          <w:p>
            <w:pPr>
              <w:spacing w:after="20" w:before="20"/>
            </w:pPr>
            <w:r/>
            <w:r>
              <w:rPr>
                <w:rFonts w:ascii="游ゴシック" w:hAnsi="游ゴシック" w:eastAsia="游ゴシック"/>
                <w:b w:val="0"/>
                <w:sz w:val="18"/>
              </w:rPr>
              <w:t>2,014</w:t>
            </w:r>
          </w:p>
        </w:tc>
        <w:tc>
          <w:tcPr>
            <w:tcW w:type="dxa" w:w="964"/>
          </w:tcPr>
          <w:p>
            <w:pPr>
              <w:spacing w:after="20" w:before="20"/>
            </w:pPr>
            <w:r/>
            <w:r>
              <w:rPr>
                <w:rFonts w:ascii="游ゴシック" w:hAnsi="游ゴシック" w:eastAsia="游ゴシック"/>
                <w:b w:val="0"/>
                <w:sz w:val="18"/>
              </w:rPr>
              <w:t>2,029</w:t>
            </w:r>
          </w:p>
        </w:tc>
        <w:tc>
          <w:tcPr>
            <w:tcW w:type="dxa" w:w="964"/>
          </w:tcPr>
          <w:p>
            <w:pPr>
              <w:spacing w:after="20" w:before="20"/>
            </w:pPr>
            <w:r/>
            <w:r>
              <w:rPr>
                <w:rFonts w:ascii="游ゴシック" w:hAnsi="游ゴシック" w:eastAsia="游ゴシック"/>
                <w:b w:val="0"/>
                <w:sz w:val="18"/>
              </w:rPr>
              <w:t>2,044</w:t>
            </w:r>
          </w:p>
        </w:tc>
        <w:tc>
          <w:tcPr>
            <w:tcW w:type="dxa" w:w="1077"/>
          </w:tcPr>
          <w:p>
            <w:pPr>
              <w:spacing w:after="20" w:before="20"/>
            </w:pPr>
            <w:r/>
            <w:r>
              <w:rPr>
                <w:rFonts w:ascii="游ゴシック" w:hAnsi="游ゴシック" w:eastAsia="游ゴシック"/>
                <w:b w:val="0"/>
                <w:sz w:val="18"/>
              </w:rPr>
              <w:t>6,087</w:t>
            </w:r>
          </w:p>
        </w:tc>
        <w:tc>
          <w:tcPr>
            <w:tcW w:type="dxa" w:w="964"/>
          </w:tcPr>
          <w:p>
            <w:pPr>
              <w:spacing w:after="20" w:before="20"/>
            </w:pPr>
            <w:r/>
            <w:r>
              <w:rPr>
                <w:rFonts w:ascii="游ゴシック" w:hAnsi="游ゴシック" w:eastAsia="游ゴシック"/>
                <w:b w:val="0"/>
                <w:sz w:val="18"/>
              </w:rPr>
              <w:t>2,255</w:t>
            </w:r>
          </w:p>
        </w:tc>
      </w:tr>
      <w:tr>
        <w:tc>
          <w:tcPr>
            <w:tcW w:type="dxa" w:w="1361"/>
          </w:tcPr>
          <w:p>
            <w:pPr>
              <w:spacing w:after="20" w:before="20"/>
            </w:pPr>
            <w:r/>
            <w:r>
              <w:rPr>
                <w:rFonts w:ascii="游ゴシック" w:hAnsi="游ゴシック" w:eastAsia="游ゴシック"/>
                <w:b w:val="0"/>
                <w:sz w:val="18"/>
              </w:rPr>
              <w:t>② トレンド継続</w:t>
            </w:r>
          </w:p>
        </w:tc>
        <w:tc>
          <w:tcPr>
            <w:tcW w:type="dxa" w:w="3628"/>
          </w:tcPr>
          <w:p>
            <w:pPr>
              <w:spacing w:after="20" w:before="20"/>
            </w:pPr>
            <w:r/>
            <w:r>
              <w:rPr>
                <w:rFonts w:ascii="游ゴシック" w:hAnsi="游ゴシック" w:eastAsia="游ゴシック"/>
                <w:b w:val="0"/>
                <w:sz w:val="18"/>
              </w:rPr>
              <w:t>令和元年から令和8年の変化を令和11年度まで延長する（受託者の推奨）</w:t>
            </w:r>
          </w:p>
        </w:tc>
        <w:tc>
          <w:tcPr>
            <w:tcW w:type="dxa" w:w="964"/>
          </w:tcPr>
          <w:p>
            <w:pPr>
              <w:spacing w:after="20" w:before="20"/>
            </w:pPr>
            <w:r/>
            <w:r>
              <w:rPr>
                <w:rFonts w:ascii="游ゴシック" w:hAnsi="游ゴシック" w:eastAsia="游ゴシック"/>
                <w:b w:val="0"/>
                <w:sz w:val="18"/>
              </w:rPr>
              <w:t>1,995</w:t>
            </w:r>
          </w:p>
        </w:tc>
        <w:tc>
          <w:tcPr>
            <w:tcW w:type="dxa" w:w="964"/>
          </w:tcPr>
          <w:p>
            <w:pPr>
              <w:spacing w:after="20" w:before="20"/>
            </w:pPr>
            <w:r/>
            <w:r>
              <w:rPr>
                <w:rFonts w:ascii="游ゴシック" w:hAnsi="游ゴシック" w:eastAsia="游ゴシック"/>
                <w:b w:val="0"/>
                <w:sz w:val="18"/>
              </w:rPr>
              <w:t>2,000</w:t>
            </w:r>
          </w:p>
        </w:tc>
        <w:tc>
          <w:tcPr>
            <w:tcW w:type="dxa" w:w="964"/>
          </w:tcPr>
          <w:p>
            <w:pPr>
              <w:spacing w:after="20" w:before="20"/>
            </w:pPr>
            <w:r/>
            <w:r>
              <w:rPr>
                <w:rFonts w:ascii="游ゴシック" w:hAnsi="游ゴシック" w:eastAsia="游ゴシック"/>
                <w:b w:val="0"/>
                <w:sz w:val="18"/>
              </w:rPr>
              <w:t>2,004</w:t>
            </w:r>
          </w:p>
        </w:tc>
        <w:tc>
          <w:tcPr>
            <w:tcW w:type="dxa" w:w="1077"/>
          </w:tcPr>
          <w:p>
            <w:pPr>
              <w:spacing w:after="20" w:before="20"/>
            </w:pPr>
            <w:r/>
            <w:r>
              <w:rPr>
                <w:rFonts w:ascii="游ゴシック" w:hAnsi="游ゴシック" w:eastAsia="游ゴシック"/>
                <w:b w:val="0"/>
                <w:sz w:val="18"/>
              </w:rPr>
              <w:t>5,999</w:t>
            </w:r>
          </w:p>
        </w:tc>
        <w:tc>
          <w:tcPr>
            <w:tcW w:type="dxa" w:w="964"/>
          </w:tcPr>
          <w:p>
            <w:pPr>
              <w:spacing w:after="20" w:before="20"/>
            </w:pPr>
            <w:r/>
            <w:r>
              <w:rPr>
                <w:rFonts w:ascii="游ゴシック" w:hAnsi="游ゴシック" w:eastAsia="游ゴシック"/>
                <w:b w:val="0"/>
                <w:sz w:val="18"/>
              </w:rPr>
              <w:t>2,216</w:t>
            </w:r>
          </w:p>
        </w:tc>
      </w:tr>
      <w:tr>
        <w:tc>
          <w:tcPr>
            <w:tcW w:type="dxa" w:w="1361"/>
          </w:tcPr>
          <w:p>
            <w:pPr>
              <w:spacing w:after="20" w:before="20"/>
            </w:pPr>
            <w:r/>
            <w:r>
              <w:rPr>
                <w:rFonts w:ascii="游ゴシック" w:hAnsi="游ゴシック" w:eastAsia="游ゴシック"/>
                <w:b w:val="0"/>
                <w:sz w:val="18"/>
              </w:rPr>
              <w:t>③ 令和元年水準</w:t>
            </w:r>
          </w:p>
        </w:tc>
        <w:tc>
          <w:tcPr>
            <w:tcW w:type="dxa" w:w="3628"/>
          </w:tcPr>
          <w:p>
            <w:pPr>
              <w:spacing w:after="20" w:before="20"/>
            </w:pPr>
            <w:r/>
            <w:r>
              <w:rPr>
                <w:rFonts w:ascii="游ゴシック" w:hAnsi="游ゴシック" w:eastAsia="游ゴシック"/>
                <w:b w:val="0"/>
                <w:sz w:val="18"/>
              </w:rPr>
              <w:t>令和11年度にかけて令和元年の水準へ戻る</w:t>
            </w:r>
          </w:p>
        </w:tc>
        <w:tc>
          <w:tcPr>
            <w:tcW w:type="dxa" w:w="964"/>
          </w:tcPr>
          <w:p>
            <w:pPr>
              <w:spacing w:after="20" w:before="20"/>
            </w:pPr>
            <w:r/>
            <w:r>
              <w:rPr>
                <w:rFonts w:ascii="游ゴシック" w:hAnsi="游ゴシック" w:eastAsia="游ゴシック"/>
                <w:b w:val="0"/>
                <w:sz w:val="18"/>
              </w:rPr>
              <w:t>2,048</w:t>
            </w:r>
          </w:p>
        </w:tc>
        <w:tc>
          <w:tcPr>
            <w:tcW w:type="dxa" w:w="964"/>
          </w:tcPr>
          <w:p>
            <w:pPr>
              <w:spacing w:after="20" w:before="20"/>
            </w:pPr>
            <w:r/>
            <w:r>
              <w:rPr>
                <w:rFonts w:ascii="游ゴシック" w:hAnsi="游ゴシック" w:eastAsia="游ゴシック"/>
                <w:b w:val="0"/>
                <w:sz w:val="18"/>
              </w:rPr>
              <w:t>2,080</w:t>
            </w:r>
          </w:p>
        </w:tc>
        <w:tc>
          <w:tcPr>
            <w:tcW w:type="dxa" w:w="964"/>
          </w:tcPr>
          <w:p>
            <w:pPr>
              <w:spacing w:after="20" w:before="20"/>
            </w:pPr>
            <w:r/>
            <w:r>
              <w:rPr>
                <w:rFonts w:ascii="游ゴシック" w:hAnsi="游ゴシック" w:eastAsia="游ゴシック"/>
                <w:b w:val="0"/>
                <w:sz w:val="18"/>
              </w:rPr>
              <w:t>2,112</w:t>
            </w:r>
          </w:p>
        </w:tc>
        <w:tc>
          <w:tcPr>
            <w:tcW w:type="dxa" w:w="1077"/>
          </w:tcPr>
          <w:p>
            <w:pPr>
              <w:spacing w:after="20" w:before="20"/>
            </w:pPr>
            <w:r/>
            <w:r>
              <w:rPr>
                <w:rFonts w:ascii="游ゴシック" w:hAnsi="游ゴシック" w:eastAsia="游ゴシック"/>
                <w:b w:val="0"/>
                <w:sz w:val="18"/>
              </w:rPr>
              <w:t>6,240</w:t>
            </w:r>
          </w:p>
        </w:tc>
        <w:tc>
          <w:tcPr>
            <w:tcW w:type="dxa" w:w="964"/>
          </w:tcPr>
          <w:p>
            <w:pPr>
              <w:spacing w:after="20" w:before="20"/>
            </w:pPr>
            <w:r/>
            <w:r>
              <w:rPr>
                <w:rFonts w:ascii="游ゴシック" w:hAnsi="游ゴシック" w:eastAsia="游ゴシック"/>
                <w:b w:val="0"/>
                <w:sz w:val="18"/>
              </w:rPr>
              <w:t>2,323</w:t>
            </w:r>
          </w:p>
        </w:tc>
      </w:tr>
    </w:tbl>
    <w:p>
      <w:pPr>
        <w:spacing w:after="80"/>
      </w:pPr>
    </w:p>
    <w:p>
      <w:pPr>
        <w:spacing w:after="120" w:before="0" w:line="276" w:lineRule="auto"/>
      </w:pPr>
      <w:r>
        <w:rPr>
          <w:rFonts w:ascii="游ゴシック" w:hAnsi="游ゴシック" w:eastAsia="游ゴシック"/>
          <w:b w:val="0"/>
          <w:sz w:val="19"/>
        </w:rPr>
        <w:t>いずれの置き方でも認定者数は増えます。第10期期間中に65歳以上人口はほぼ変わりませんが、85歳以上が4.1％増えるためです。単位は人。</w:t>
      </w:r>
    </w:p>
    <w:p>
      <w:pPr>
        <w:spacing w:before="240" w:after="100"/>
      </w:pPr>
      <w:r>
        <w:rPr>
          <w:rFonts w:ascii="游ゴシック" w:hAnsi="游ゴシック" w:eastAsia="游ゴシック"/>
          <w:b/>
          <w:color w:val="1F3864"/>
          <w:sz w:val="22"/>
        </w:rPr>
        <w:t>想定する主要論点</w:t>
      </w:r>
    </w:p>
    <w:p>
      <w:pPr>
        <w:spacing w:after="40"/>
        <w:ind w:left="283"/>
      </w:pPr>
      <w:r>
        <w:rPr>
          <w:rFonts w:ascii="游ゴシック" w:hAnsi="游ゴシック" w:eastAsia="游ゴシック"/>
          <w:sz w:val="21"/>
        </w:rPr>
        <w:t>・人口減少下でも構成が変化する介護需要への対応</w:t>
      </w:r>
    </w:p>
    <w:p>
      <w:pPr>
        <w:spacing w:after="40"/>
        <w:ind w:left="283"/>
      </w:pPr>
      <w:r>
        <w:rPr>
          <w:rFonts w:ascii="游ゴシック" w:hAnsi="游ゴシック" w:eastAsia="游ゴシック"/>
          <w:sz w:val="21"/>
        </w:rPr>
        <w:t>・在宅生活を支えるサービス、家族介護者支援及び医療介護連携</w:t>
      </w:r>
    </w:p>
    <w:p>
      <w:pPr>
        <w:spacing w:after="40"/>
        <w:ind w:left="283"/>
      </w:pPr>
      <w:r>
        <w:rPr>
          <w:rFonts w:ascii="游ゴシック" w:hAnsi="游ゴシック" w:eastAsia="游ゴシック"/>
          <w:sz w:val="21"/>
        </w:rPr>
        <w:t>・介護人材不足を前提とした供給量、基盤整備及び生産性向上</w:t>
      </w:r>
    </w:p>
    <w:p>
      <w:pPr>
        <w:spacing w:after="40"/>
        <w:ind w:left="283"/>
      </w:pPr>
      <w:r>
        <w:rPr>
          <w:rFonts w:ascii="游ゴシック" w:hAnsi="游ゴシック" w:eastAsia="游ゴシック"/>
          <w:sz w:val="21"/>
        </w:rPr>
        <w:t>・3町の地域特性を踏まえた介護予防・生活支援と広域運営の両立</w:t>
      </w:r>
    </w:p>
    <w:p>
      <w:pPr>
        <w:spacing w:after="40"/>
        <w:ind w:left="283"/>
      </w:pPr>
      <w:r>
        <w:rPr>
          <w:rFonts w:ascii="游ゴシック" w:hAnsi="游ゴシック" w:eastAsia="游ゴシック"/>
          <w:sz w:val="21"/>
        </w:rPr>
        <w:t>・区域外の事業所による給付の割合（施設・居住系で23〜35％）の評価</w:t>
      </w:r>
    </w:p>
    <w:p>
      <w:pPr>
        <w:spacing w:before="240" w:after="100"/>
      </w:pPr>
      <w:r>
        <w:rPr>
          <w:rFonts w:ascii="游ゴシック" w:hAnsi="游ゴシック" w:eastAsia="游ゴシック"/>
          <w:b/>
          <w:color w:val="1F3864"/>
          <w:sz w:val="26"/>
        </w:rPr>
        <w:t>8. サービス見込量・保険料の検討手順</w:t>
      </w:r>
    </w:p>
    <w:p>
      <w:pPr>
        <w:spacing w:after="120" w:before="0" w:line="276" w:lineRule="auto"/>
      </w:pPr>
      <w:r>
        <w:rPr>
          <w:rFonts w:ascii="游ゴシック" w:hAnsi="游ゴシック" w:eastAsia="游ゴシック"/>
          <w:b w:val="0"/>
          <w:sz w:val="21"/>
        </w:rPr>
        <w:t>将来推計は、人口の基礎を社人研推計とし、階級別人口に階級別認定率を乗じる方法により第1段階を完了しています。第2段階（サービス見込量）以降で、需要上振れ、供給制約、基金取崩し、報酬・制度改正等の複数ケースを設定し、採用値を協議します。</w:t>
      </w:r>
    </w:p>
    <w:p>
      <w:pPr>
        <w:spacing w:after="120" w:before="0" w:line="276" w:lineRule="auto"/>
      </w:pPr>
      <w:r>
        <w:rPr>
          <w:rFonts w:ascii="游ゴシック" w:hAnsi="游ゴシック" w:eastAsia="游ゴシック"/>
          <w:b w:val="0"/>
          <w:sz w:val="20"/>
        </w:rPr>
        <w:t>なお、見える化システムの自然体推計確認シートについては、参照式を修正して公表値6時点と差額0円で整合することを確認済みです。これは同システムの計算過程の検算であり、上記の第1段階の推計とは別のものです。自然体推計による給付費92.67億円・保険料6,238円は、第2段階以降の算定により置き換わり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680"/>
            <w:shd w:val="clear" w:fill="1F3864"/>
          </w:tcPr>
          <w:p>
            <w:pPr>
              <w:spacing w:after="20" w:before="20"/>
            </w:pPr>
            <w:r/>
            <w:r>
              <w:rPr>
                <w:rFonts w:ascii="游ゴシック" w:hAnsi="游ゴシック" w:eastAsia="游ゴシック"/>
                <w:b/>
                <w:color w:val="FFFFFF"/>
                <w:sz w:val="18"/>
              </w:rPr>
              <w:t>手順</w:t>
            </w:r>
          </w:p>
        </w:tc>
        <w:tc>
          <w:tcPr>
            <w:tcW w:type="dxa" w:w="4195"/>
            <w:shd w:val="clear" w:fill="1F3864"/>
          </w:tcPr>
          <w:p>
            <w:pPr>
              <w:spacing w:after="20" w:before="20"/>
            </w:pPr>
            <w:r/>
            <w:r>
              <w:rPr>
                <w:rFonts w:ascii="游ゴシック" w:hAnsi="游ゴシック" w:eastAsia="游ゴシック"/>
                <w:b/>
                <w:color w:val="FFFFFF"/>
                <w:sz w:val="18"/>
              </w:rPr>
              <w:t>検討内容</w:t>
            </w:r>
          </w:p>
        </w:tc>
        <w:tc>
          <w:tcPr>
            <w:tcW w:type="dxa" w:w="3061"/>
            <w:shd w:val="clear" w:fill="1F3864"/>
          </w:tcPr>
          <w:p>
            <w:pPr>
              <w:spacing w:after="20" w:before="20"/>
            </w:pPr>
            <w:r/>
            <w:r>
              <w:rPr>
                <w:rFonts w:ascii="游ゴシック" w:hAnsi="游ゴシック" w:eastAsia="游ゴシック"/>
                <w:b/>
                <w:color w:val="FFFFFF"/>
                <w:sz w:val="18"/>
              </w:rPr>
              <w:t>現在地／確認主体</w:t>
            </w:r>
          </w:p>
        </w:tc>
        <w:tc>
          <w:tcPr>
            <w:tcW w:type="dxa" w:w="1814"/>
            <w:shd w:val="clear" w:fill="1F3864"/>
          </w:tcPr>
          <w:p>
            <w:pPr>
              <w:spacing w:after="20" w:before="20"/>
            </w:pPr>
            <w:r/>
            <w:r>
              <w:rPr>
                <w:rFonts w:ascii="游ゴシック" w:hAnsi="游ゴシック" w:eastAsia="游ゴシック"/>
                <w:b/>
                <w:color w:val="FFFFFF"/>
                <w:sz w:val="18"/>
              </w:rPr>
              <w:t>判断時期</w:t>
            </w:r>
          </w:p>
        </w:tc>
      </w:tr>
      <w:tr>
        <w:tc>
          <w:tcPr>
            <w:tcW w:type="dxa" w:w="680"/>
          </w:tcPr>
          <w:p>
            <w:pPr>
              <w:spacing w:after="20" w:before="20"/>
            </w:pPr>
            <w:r/>
            <w:r>
              <w:rPr>
                <w:rFonts w:ascii="游ゴシック" w:hAnsi="游ゴシック" w:eastAsia="游ゴシック"/>
                <w:b w:val="0"/>
                <w:sz w:val="18"/>
              </w:rPr>
              <w:t>1</w:t>
            </w:r>
          </w:p>
        </w:tc>
        <w:tc>
          <w:tcPr>
            <w:tcW w:type="dxa" w:w="4195"/>
          </w:tcPr>
          <w:p>
            <w:pPr>
              <w:spacing w:after="20" w:before="20"/>
            </w:pPr>
            <w:r/>
            <w:r>
              <w:rPr>
                <w:rFonts w:ascii="游ゴシック" w:hAnsi="游ゴシック" w:eastAsia="游ゴシック"/>
                <w:b w:val="0"/>
                <w:sz w:val="18"/>
              </w:rPr>
              <w:t>人口の基礎の確認と第1段階（人口・認定者数）の試算</w:t>
            </w:r>
          </w:p>
        </w:tc>
        <w:tc>
          <w:tcPr>
            <w:tcW w:type="dxa" w:w="3061"/>
          </w:tcPr>
          <w:p>
            <w:pPr>
              <w:spacing w:after="20" w:before="20"/>
            </w:pPr>
            <w:r/>
            <w:r>
              <w:rPr>
                <w:rFonts w:ascii="游ゴシック" w:hAnsi="游ゴシック" w:eastAsia="游ゴシック"/>
                <w:b w:val="0"/>
                <w:sz w:val="18"/>
              </w:rPr>
              <w:t>受託者の案（社人研推計）を仮に置いて試算済。発注者のご意向を確認する</w:t>
            </w:r>
          </w:p>
        </w:tc>
        <w:tc>
          <w:tcPr>
            <w:tcW w:type="dxa" w:w="1814"/>
          </w:tcPr>
          <w:p>
            <w:pPr>
              <w:spacing w:after="20" w:before="20"/>
            </w:pPr>
            <w:r/>
            <w:r>
              <w:rPr>
                <w:rFonts w:ascii="游ゴシック" w:hAnsi="游ゴシック" w:eastAsia="游ゴシック"/>
                <w:b w:val="0"/>
                <w:sz w:val="18"/>
              </w:rPr>
              <w:t>8月</w:t>
            </w:r>
          </w:p>
        </w:tc>
      </w:tr>
      <w:tr>
        <w:tc>
          <w:tcPr>
            <w:tcW w:type="dxa" w:w="680"/>
          </w:tcPr>
          <w:p>
            <w:pPr>
              <w:spacing w:after="20" w:before="20"/>
            </w:pPr>
            <w:r/>
            <w:r>
              <w:rPr>
                <w:rFonts w:ascii="游ゴシック" w:hAnsi="游ゴシック" w:eastAsia="游ゴシック"/>
                <w:b w:val="0"/>
                <w:sz w:val="18"/>
              </w:rPr>
              <w:t>2</w:t>
            </w:r>
          </w:p>
        </w:tc>
        <w:tc>
          <w:tcPr>
            <w:tcW w:type="dxa" w:w="4195"/>
          </w:tcPr>
          <w:p>
            <w:pPr>
              <w:spacing w:after="20" w:before="20"/>
            </w:pPr>
            <w:r/>
            <w:r>
              <w:rPr>
                <w:rFonts w:ascii="游ゴシック" w:hAnsi="游ゴシック" w:eastAsia="游ゴシック"/>
                <w:b w:val="0"/>
                <w:sz w:val="18"/>
              </w:rPr>
              <w:t>認定率のシナリオの選択</w:t>
            </w:r>
          </w:p>
        </w:tc>
        <w:tc>
          <w:tcPr>
            <w:tcW w:type="dxa" w:w="3061"/>
          </w:tcPr>
          <w:p>
            <w:pPr>
              <w:spacing w:after="20" w:before="20"/>
            </w:pPr>
            <w:r/>
            <w:r>
              <w:rPr>
                <w:rFonts w:ascii="游ゴシック" w:hAnsi="游ゴシック" w:eastAsia="游ゴシック"/>
                <w:b w:val="0"/>
                <w:sz w:val="18"/>
              </w:rPr>
              <w:t>3案を算定済。広域連合のご決定を要する</w:t>
            </w:r>
          </w:p>
        </w:tc>
        <w:tc>
          <w:tcPr>
            <w:tcW w:type="dxa" w:w="1814"/>
          </w:tcPr>
          <w:p>
            <w:pPr>
              <w:spacing w:after="20" w:before="20"/>
            </w:pPr>
            <w:r/>
            <w:r>
              <w:rPr>
                <w:rFonts w:ascii="游ゴシック" w:hAnsi="游ゴシック" w:eastAsia="游ゴシック"/>
                <w:b w:val="0"/>
                <w:sz w:val="18"/>
              </w:rPr>
              <w:t>10月中</w:t>
            </w:r>
          </w:p>
        </w:tc>
      </w:tr>
      <w:tr>
        <w:tc>
          <w:tcPr>
            <w:tcW w:type="dxa" w:w="680"/>
          </w:tcPr>
          <w:p>
            <w:pPr>
              <w:spacing w:after="20" w:before="20"/>
            </w:pPr>
            <w:r/>
            <w:r>
              <w:rPr>
                <w:rFonts w:ascii="游ゴシック" w:hAnsi="游ゴシック" w:eastAsia="游ゴシック"/>
                <w:b w:val="0"/>
                <w:sz w:val="18"/>
              </w:rPr>
              <w:t>3</w:t>
            </w:r>
          </w:p>
        </w:tc>
        <w:tc>
          <w:tcPr>
            <w:tcW w:type="dxa" w:w="4195"/>
          </w:tcPr>
          <w:p>
            <w:pPr>
              <w:spacing w:after="20" w:before="20"/>
            </w:pPr>
            <w:r/>
            <w:r>
              <w:rPr>
                <w:rFonts w:ascii="游ゴシック" w:hAnsi="游ゴシック" w:eastAsia="游ゴシック"/>
                <w:b w:val="0"/>
                <w:sz w:val="18"/>
              </w:rPr>
              <w:t>実施済み4調査、第9期実績で需要・供給・人材を把握</w:t>
            </w:r>
          </w:p>
        </w:tc>
        <w:tc>
          <w:tcPr>
            <w:tcW w:type="dxa" w:w="3061"/>
          </w:tcPr>
          <w:p>
            <w:pPr>
              <w:spacing w:after="20" w:before="20"/>
            </w:pPr>
            <w:r/>
            <w:r>
              <w:rPr>
                <w:rFonts w:ascii="游ゴシック" w:hAnsi="游ゴシック" w:eastAsia="游ゴシック"/>
                <w:b w:val="0"/>
                <w:sz w:val="18"/>
              </w:rPr>
              <w:t>進行：広域連合・3町</w:t>
            </w:r>
          </w:p>
        </w:tc>
        <w:tc>
          <w:tcPr>
            <w:tcW w:type="dxa" w:w="1814"/>
          </w:tcPr>
          <w:p>
            <w:pPr>
              <w:spacing w:after="20" w:before="20"/>
            </w:pPr>
            <w:r/>
            <w:r>
              <w:rPr>
                <w:rFonts w:ascii="游ゴシック" w:hAnsi="游ゴシック" w:eastAsia="游ゴシック"/>
                <w:b w:val="0"/>
                <w:sz w:val="18"/>
              </w:rPr>
              <w:t>8～10月</w:t>
            </w:r>
          </w:p>
        </w:tc>
      </w:tr>
      <w:tr>
        <w:tc>
          <w:tcPr>
            <w:tcW w:type="dxa" w:w="680"/>
          </w:tcPr>
          <w:p>
            <w:pPr>
              <w:spacing w:after="20" w:before="20"/>
            </w:pPr>
            <w:r/>
            <w:r>
              <w:rPr>
                <w:rFonts w:ascii="游ゴシック" w:hAnsi="游ゴシック" w:eastAsia="游ゴシック"/>
                <w:b w:val="0"/>
                <w:sz w:val="18"/>
              </w:rPr>
              <w:t>4</w:t>
            </w:r>
          </w:p>
        </w:tc>
        <w:tc>
          <w:tcPr>
            <w:tcW w:type="dxa" w:w="4195"/>
          </w:tcPr>
          <w:p>
            <w:pPr>
              <w:spacing w:after="20" w:before="20"/>
            </w:pPr>
            <w:r/>
            <w:r>
              <w:rPr>
                <w:rFonts w:ascii="游ゴシック" w:hAnsi="游ゴシック" w:eastAsia="游ゴシック"/>
                <w:b w:val="0"/>
                <w:sz w:val="18"/>
              </w:rPr>
              <w:t>第2段階（サービス見込量）の算定。基本ケース（令和7年度固定）と感度分析（趨勢の延長）を試算済</w:t>
            </w:r>
          </w:p>
        </w:tc>
        <w:tc>
          <w:tcPr>
            <w:tcW w:type="dxa" w:w="3061"/>
          </w:tcPr>
          <w:p>
            <w:pPr>
              <w:spacing w:after="20" w:before="20"/>
            </w:pPr>
            <w:r/>
            <w:r>
              <w:rPr>
                <w:rFonts w:ascii="游ゴシック" w:hAnsi="游ゴシック" w:eastAsia="游ゴシック"/>
                <w:b w:val="0"/>
                <w:sz w:val="18"/>
              </w:rPr>
              <w:t>利用率と1人当たり利用日数の置き方のご意向を確認する。広域連合・受託者</w:t>
            </w:r>
          </w:p>
        </w:tc>
        <w:tc>
          <w:tcPr>
            <w:tcW w:type="dxa" w:w="1814"/>
          </w:tcPr>
          <w:p>
            <w:pPr>
              <w:spacing w:after="20" w:before="20"/>
            </w:pPr>
            <w:r/>
            <w:r>
              <w:rPr>
                <w:rFonts w:ascii="游ゴシック" w:hAnsi="游ゴシック" w:eastAsia="游ゴシック"/>
                <w:b w:val="0"/>
                <w:sz w:val="18"/>
              </w:rPr>
              <w:t>8～10月</w:t>
            </w:r>
          </w:p>
        </w:tc>
      </w:tr>
      <w:tr>
        <w:tc>
          <w:tcPr>
            <w:tcW w:type="dxa" w:w="680"/>
          </w:tcPr>
          <w:p>
            <w:pPr>
              <w:spacing w:after="20" w:before="20"/>
            </w:pPr>
            <w:r/>
            <w:r>
              <w:rPr>
                <w:rFonts w:ascii="游ゴシック" w:hAnsi="游ゴシック" w:eastAsia="游ゴシック"/>
                <w:b w:val="0"/>
                <w:sz w:val="18"/>
              </w:rPr>
              <w:t>5</w:t>
            </w:r>
          </w:p>
        </w:tc>
        <w:tc>
          <w:tcPr>
            <w:tcW w:type="dxa" w:w="4195"/>
          </w:tcPr>
          <w:p>
            <w:pPr>
              <w:spacing w:after="20" w:before="20"/>
            </w:pPr>
            <w:r/>
            <w:r>
              <w:rPr>
                <w:rFonts w:ascii="游ゴシック" w:hAnsi="游ゴシック" w:eastAsia="游ゴシック"/>
                <w:b w:val="0"/>
                <w:sz w:val="18"/>
              </w:rPr>
              <w:t>第3段階（給付費・保険料）。基金、所得段階、制度・報酬改定等を反映</w:t>
            </w:r>
          </w:p>
        </w:tc>
        <w:tc>
          <w:tcPr>
            <w:tcW w:type="dxa" w:w="3061"/>
          </w:tcPr>
          <w:p>
            <w:pPr>
              <w:spacing w:after="20" w:before="20"/>
            </w:pPr>
            <w:r/>
            <w:r>
              <w:rPr>
                <w:rFonts w:ascii="游ゴシック" w:hAnsi="游ゴシック" w:eastAsia="游ゴシック"/>
                <w:b w:val="0"/>
                <w:sz w:val="18"/>
              </w:rPr>
              <w:t>広域連合・受託者</w:t>
            </w:r>
          </w:p>
        </w:tc>
        <w:tc>
          <w:tcPr>
            <w:tcW w:type="dxa" w:w="1814"/>
          </w:tcPr>
          <w:p>
            <w:pPr>
              <w:spacing w:after="20" w:before="20"/>
            </w:pPr>
            <w:r/>
            <w:r>
              <w:rPr>
                <w:rFonts w:ascii="游ゴシック" w:hAnsi="游ゴシック" w:eastAsia="游ゴシック"/>
                <w:b w:val="0"/>
                <w:sz w:val="18"/>
              </w:rPr>
              <w:t>11～1月</w:t>
            </w:r>
          </w:p>
        </w:tc>
      </w:tr>
      <w:tr>
        <w:tc>
          <w:tcPr>
            <w:tcW w:type="dxa" w:w="680"/>
          </w:tcPr>
          <w:p>
            <w:pPr>
              <w:spacing w:after="20" w:before="20"/>
            </w:pPr>
            <w:r/>
            <w:r>
              <w:rPr>
                <w:rFonts w:ascii="游ゴシック" w:hAnsi="游ゴシック" w:eastAsia="游ゴシック"/>
                <w:b w:val="0"/>
                <w:sz w:val="18"/>
              </w:rPr>
              <w:t>6</w:t>
            </w:r>
          </w:p>
        </w:tc>
        <w:tc>
          <w:tcPr>
            <w:tcW w:type="dxa" w:w="4195"/>
          </w:tcPr>
          <w:p>
            <w:pPr>
              <w:spacing w:after="20" w:before="20"/>
            </w:pPr>
            <w:r/>
            <w:r>
              <w:rPr>
                <w:rFonts w:ascii="游ゴシック" w:hAnsi="游ゴシック" w:eastAsia="游ゴシック"/>
                <w:b w:val="0"/>
                <w:sz w:val="18"/>
              </w:rPr>
              <w:t>3町・委員会の意見を反映して採用値を確定</w:t>
            </w:r>
          </w:p>
        </w:tc>
        <w:tc>
          <w:tcPr>
            <w:tcW w:type="dxa" w:w="3061"/>
          </w:tcPr>
          <w:p>
            <w:pPr>
              <w:spacing w:after="20" w:before="20"/>
            </w:pPr>
            <w:r/>
            <w:r>
              <w:rPr>
                <w:rFonts w:ascii="游ゴシック" w:hAnsi="游ゴシック" w:eastAsia="游ゴシック"/>
                <w:b w:val="0"/>
                <w:sz w:val="18"/>
              </w:rPr>
              <w:t>広域連合・3町・協議会</w:t>
            </w:r>
          </w:p>
        </w:tc>
        <w:tc>
          <w:tcPr>
            <w:tcW w:type="dxa" w:w="1814"/>
          </w:tcPr>
          <w:p>
            <w:pPr>
              <w:spacing w:after="20" w:before="20"/>
            </w:pPr>
            <w:r/>
            <w:r>
              <w:rPr>
                <w:rFonts w:ascii="游ゴシック" w:hAnsi="游ゴシック" w:eastAsia="游ゴシック"/>
                <w:b w:val="0"/>
                <w:sz w:val="18"/>
              </w:rPr>
              <w:t>1～2月</w:t>
            </w:r>
          </w:p>
        </w:tc>
      </w:tr>
    </w:tbl>
    <w:p>
      <w:pPr>
        <w:spacing w:after="80"/>
      </w:pPr>
    </w:p>
    <w:p>
      <w:pPr>
        <w:spacing w:after="120" w:before="0" w:line="276" w:lineRule="auto"/>
      </w:pPr>
      <w:r>
        <w:rPr>
          <w:rFonts w:ascii="游ゴシック" w:hAnsi="游ゴシック" w:eastAsia="游ゴシック"/>
          <w:b w:val="0"/>
          <w:sz w:val="19"/>
        </w:rPr>
        <w:t>※ 判断時期は策定委員会の開催日程が確定していないため目安です。日程の確定後に工程を確定します。</w:t>
      </w:r>
    </w:p>
    <w:p>
      <w:pPr>
        <w:spacing w:before="240" w:after="100"/>
      </w:pPr>
      <w:r>
        <w:rPr>
          <w:rFonts w:ascii="游ゴシック" w:hAnsi="游ゴシック" w:eastAsia="游ゴシック"/>
          <w:b/>
          <w:color w:val="1F3864"/>
          <w:sz w:val="26"/>
        </w:rPr>
        <w:t>9. 協議・3町調整・パブリックコメント</w:t>
      </w:r>
    </w:p>
    <w:p>
      <w:pPr>
        <w:spacing w:after="120" w:before="0" w:line="276" w:lineRule="auto"/>
      </w:pPr>
      <w:r>
        <w:rPr>
          <w:rFonts w:ascii="游ゴシック" w:hAnsi="游ゴシック" w:eastAsia="游ゴシック"/>
          <w:b w:val="0"/>
          <w:sz w:val="21"/>
        </w:rPr>
        <w:t>会議体ごとに、報告する事項、意見を求める事項及び決定する事項を分けて資料化します。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814"/>
            <w:shd w:val="clear" w:fill="1F3864"/>
          </w:tcPr>
          <w:p>
            <w:pPr>
              <w:spacing w:after="20" w:before="20"/>
            </w:pPr>
            <w:r/>
            <w:r>
              <w:rPr>
                <w:rFonts w:ascii="游ゴシック" w:hAnsi="游ゴシック" w:eastAsia="游ゴシック"/>
                <w:b/>
                <w:color w:val="FFFFFF"/>
                <w:sz w:val="18"/>
              </w:rPr>
              <w:t>場面</w:t>
            </w:r>
          </w:p>
        </w:tc>
        <w:tc>
          <w:tcPr>
            <w:tcW w:type="dxa" w:w="2948"/>
            <w:shd w:val="clear" w:fill="1F3864"/>
          </w:tcPr>
          <w:p>
            <w:pPr>
              <w:spacing w:after="20" w:before="20"/>
            </w:pPr>
            <w:r/>
            <w:r>
              <w:rPr>
                <w:rFonts w:ascii="游ゴシック" w:hAnsi="游ゴシック" w:eastAsia="游ゴシック"/>
                <w:b/>
                <w:color w:val="FFFFFF"/>
                <w:sz w:val="18"/>
              </w:rPr>
              <w:t>主な目的</w:t>
            </w:r>
          </w:p>
        </w:tc>
        <w:tc>
          <w:tcPr>
            <w:tcW w:type="dxa" w:w="2494"/>
            <w:shd w:val="clear" w:fill="1F3864"/>
          </w:tcPr>
          <w:p>
            <w:pPr>
              <w:spacing w:after="20" w:before="20"/>
            </w:pPr>
            <w:r/>
            <w:r>
              <w:rPr>
                <w:rFonts w:ascii="游ゴシック" w:hAnsi="游ゴシック" w:eastAsia="游ゴシック"/>
                <w:b/>
                <w:color w:val="FFFFFF"/>
                <w:sz w:val="18"/>
              </w:rPr>
              <w:t>提示物</w:t>
            </w:r>
          </w:p>
        </w:tc>
        <w:tc>
          <w:tcPr>
            <w:tcW w:type="dxa" w:w="2494"/>
            <w:shd w:val="clear" w:fill="1F3864"/>
          </w:tcPr>
          <w:p>
            <w:pPr>
              <w:spacing w:after="20" w:before="20"/>
            </w:pPr>
            <w:r/>
            <w:r>
              <w:rPr>
                <w:rFonts w:ascii="游ゴシック" w:hAnsi="游ゴシック" w:eastAsia="游ゴシック"/>
                <w:b/>
                <w:color w:val="FFFFFF"/>
                <w:sz w:val="18"/>
              </w:rPr>
              <w:t>記録・反映</w:t>
            </w:r>
          </w:p>
        </w:tc>
      </w:tr>
      <w:tr>
        <w:tc>
          <w:tcPr>
            <w:tcW w:type="dxa" w:w="1814"/>
          </w:tcPr>
          <w:p>
            <w:pPr>
              <w:spacing w:after="20" w:before="20"/>
            </w:pPr>
            <w:r/>
            <w:r>
              <w:rPr>
                <w:rFonts w:ascii="游ゴシック" w:hAnsi="游ゴシック" w:eastAsia="游ゴシック"/>
                <w:b w:val="0"/>
                <w:sz w:val="18"/>
              </w:rPr>
              <w:t>実務担当者協議</w:t>
            </w:r>
          </w:p>
        </w:tc>
        <w:tc>
          <w:tcPr>
            <w:tcW w:type="dxa" w:w="2948"/>
          </w:tcPr>
          <w:p>
            <w:pPr>
              <w:spacing w:after="20" w:before="20"/>
            </w:pPr>
            <w:r/>
            <w:r>
              <w:rPr>
                <w:rFonts w:ascii="游ゴシック" w:hAnsi="游ゴシック" w:eastAsia="游ゴシック"/>
                <w:b w:val="0"/>
                <w:sz w:val="18"/>
              </w:rPr>
              <w:t>データ確認、論点整理、原稿レビュー</w:t>
            </w:r>
          </w:p>
        </w:tc>
        <w:tc>
          <w:tcPr>
            <w:tcW w:type="dxa" w:w="2494"/>
          </w:tcPr>
          <w:p>
            <w:pPr>
              <w:spacing w:after="20" w:before="20"/>
            </w:pPr>
            <w:r/>
            <w:r>
              <w:rPr>
                <w:rFonts w:ascii="游ゴシック" w:hAnsi="游ゴシック" w:eastAsia="游ゴシック"/>
                <w:b w:val="0"/>
                <w:sz w:val="18"/>
              </w:rPr>
              <w:t>分析結果、論点表、原稿</w:t>
            </w:r>
          </w:p>
        </w:tc>
        <w:tc>
          <w:tcPr>
            <w:tcW w:type="dxa" w:w="2494"/>
          </w:tcPr>
          <w:p>
            <w:pPr>
              <w:spacing w:after="20" w:before="20"/>
            </w:pPr>
            <w:r/>
            <w:r>
              <w:rPr>
                <w:rFonts w:ascii="游ゴシック" w:hAnsi="游ゴシック" w:eastAsia="游ゴシック"/>
                <w:b w:val="0"/>
                <w:sz w:val="18"/>
              </w:rPr>
              <w:t>確認履歴・修正一覧</w:t>
            </w:r>
          </w:p>
        </w:tc>
      </w:tr>
      <w:tr>
        <w:tc>
          <w:tcPr>
            <w:tcW w:type="dxa" w:w="1814"/>
          </w:tcPr>
          <w:p>
            <w:pPr>
              <w:spacing w:after="20" w:before="20"/>
            </w:pPr>
            <w:r/>
            <w:r>
              <w:rPr>
                <w:rFonts w:ascii="游ゴシック" w:hAnsi="游ゴシック" w:eastAsia="游ゴシック"/>
                <w:b w:val="0"/>
                <w:sz w:val="18"/>
              </w:rPr>
              <w:t>構成3町調整</w:t>
            </w:r>
          </w:p>
        </w:tc>
        <w:tc>
          <w:tcPr>
            <w:tcW w:type="dxa" w:w="2948"/>
          </w:tcPr>
          <w:p>
            <w:pPr>
              <w:spacing w:after="20" w:before="20"/>
            </w:pPr>
            <w:r/>
            <w:r>
              <w:rPr>
                <w:rFonts w:ascii="游ゴシック" w:hAnsi="游ゴシック" w:eastAsia="游ゴシック"/>
                <w:b w:val="0"/>
                <w:sz w:val="18"/>
              </w:rPr>
              <w:t>町計画との整合、町別課題・施策の確認</w:t>
            </w:r>
          </w:p>
        </w:tc>
        <w:tc>
          <w:tcPr>
            <w:tcW w:type="dxa" w:w="2494"/>
          </w:tcPr>
          <w:p>
            <w:pPr>
              <w:spacing w:after="20" w:before="20"/>
            </w:pPr>
            <w:r/>
            <w:r>
              <w:rPr>
                <w:rFonts w:ascii="游ゴシック" w:hAnsi="游ゴシック" w:eastAsia="游ゴシック"/>
                <w:b w:val="0"/>
                <w:sz w:val="18"/>
              </w:rPr>
              <w:t>町別分析、役割分担表、計画案</w:t>
            </w:r>
          </w:p>
        </w:tc>
        <w:tc>
          <w:tcPr>
            <w:tcW w:type="dxa" w:w="2494"/>
          </w:tcPr>
          <w:p>
            <w:pPr>
              <w:spacing w:after="20" w:before="20"/>
            </w:pPr>
            <w:r/>
            <w:r>
              <w:rPr>
                <w:rFonts w:ascii="游ゴシック" w:hAnsi="游ゴシック" w:eastAsia="游ゴシック"/>
                <w:b w:val="0"/>
                <w:sz w:val="18"/>
              </w:rPr>
              <w:t>3町意見一覧・反映結果</w:t>
            </w:r>
          </w:p>
        </w:tc>
      </w:tr>
      <w:tr>
        <w:tc>
          <w:tcPr>
            <w:tcW w:type="dxa" w:w="1814"/>
          </w:tcPr>
          <w:p>
            <w:pPr>
              <w:spacing w:after="20" w:before="20"/>
            </w:pPr>
            <w:r/>
            <w:r>
              <w:rPr>
                <w:rFonts w:ascii="游ゴシック" w:hAnsi="游ゴシック" w:eastAsia="游ゴシック"/>
                <w:b w:val="0"/>
                <w:sz w:val="18"/>
              </w:rPr>
              <w:t>介護保険運営協議会</w:t>
            </w:r>
          </w:p>
        </w:tc>
        <w:tc>
          <w:tcPr>
            <w:tcW w:type="dxa" w:w="2948"/>
          </w:tcPr>
          <w:p>
            <w:pPr>
              <w:spacing w:after="20" w:before="20"/>
            </w:pPr>
            <w:r/>
            <w:r>
              <w:rPr>
                <w:rFonts w:ascii="游ゴシック" w:hAnsi="游ゴシック" w:eastAsia="游ゴシック"/>
                <w:b w:val="0"/>
                <w:sz w:val="18"/>
              </w:rPr>
              <w:t>骨子、サービス量、保険料、計画案の審議</w:t>
            </w:r>
          </w:p>
        </w:tc>
        <w:tc>
          <w:tcPr>
            <w:tcW w:type="dxa" w:w="2494"/>
          </w:tcPr>
          <w:p>
            <w:pPr>
              <w:spacing w:after="20" w:before="20"/>
            </w:pPr>
            <w:r/>
            <w:r>
              <w:rPr>
                <w:rFonts w:ascii="游ゴシック" w:hAnsi="游ゴシック" w:eastAsia="游ゴシック"/>
                <w:b w:val="0"/>
                <w:sz w:val="18"/>
              </w:rPr>
              <w:t>会議資料、計画案</w:t>
            </w:r>
          </w:p>
        </w:tc>
        <w:tc>
          <w:tcPr>
            <w:tcW w:type="dxa" w:w="2494"/>
          </w:tcPr>
          <w:p>
            <w:pPr>
              <w:spacing w:after="20" w:before="20"/>
            </w:pPr>
            <w:r/>
            <w:r>
              <w:rPr>
                <w:rFonts w:ascii="游ゴシック" w:hAnsi="游ゴシック" w:eastAsia="游ゴシック"/>
                <w:b w:val="0"/>
                <w:sz w:val="18"/>
              </w:rPr>
              <w:t>意見・対応方針</w:t>
            </w:r>
          </w:p>
        </w:tc>
      </w:tr>
      <w:tr>
        <w:tc>
          <w:tcPr>
            <w:tcW w:type="dxa" w:w="1814"/>
          </w:tcPr>
          <w:p>
            <w:pPr>
              <w:spacing w:after="20" w:before="20"/>
            </w:pPr>
            <w:r/>
            <w:r>
              <w:rPr>
                <w:rFonts w:ascii="游ゴシック" w:hAnsi="游ゴシック" w:eastAsia="游ゴシック"/>
                <w:b w:val="0"/>
                <w:sz w:val="18"/>
              </w:rPr>
              <w:t>パブリックコメント</w:t>
            </w:r>
          </w:p>
        </w:tc>
        <w:tc>
          <w:tcPr>
            <w:tcW w:type="dxa" w:w="2948"/>
          </w:tcPr>
          <w:p>
            <w:pPr>
              <w:spacing w:after="20" w:before="20"/>
            </w:pPr>
            <w:r/>
            <w:r>
              <w:rPr>
                <w:rFonts w:ascii="游ゴシック" w:hAnsi="游ゴシック" w:eastAsia="游ゴシック"/>
                <w:b w:val="0"/>
                <w:sz w:val="18"/>
              </w:rPr>
              <w:t>住民等からの意見募集</w:t>
            </w:r>
          </w:p>
        </w:tc>
        <w:tc>
          <w:tcPr>
            <w:tcW w:type="dxa" w:w="2494"/>
          </w:tcPr>
          <w:p>
            <w:pPr>
              <w:spacing w:after="20" w:before="20"/>
            </w:pPr>
            <w:r/>
            <w:r>
              <w:rPr>
                <w:rFonts w:ascii="游ゴシック" w:hAnsi="游ゴシック" w:eastAsia="游ゴシック"/>
                <w:b w:val="0"/>
                <w:sz w:val="18"/>
              </w:rPr>
              <w:t>公表用計画案、概要</w:t>
            </w:r>
          </w:p>
        </w:tc>
        <w:tc>
          <w:tcPr>
            <w:tcW w:type="dxa" w:w="2494"/>
          </w:tcPr>
          <w:p>
            <w:pPr>
              <w:spacing w:after="20" w:before="20"/>
            </w:pPr>
            <w:r/>
            <w:r>
              <w:rPr>
                <w:rFonts w:ascii="游ゴシック" w:hAnsi="游ゴシック" w:eastAsia="游ゴシック"/>
                <w:b w:val="0"/>
                <w:sz w:val="18"/>
              </w:rPr>
              <w:t>意見集約、回答案、修正</w:t>
            </w:r>
          </w:p>
        </w:tc>
      </w:tr>
      <w:tr>
        <w:tc>
          <w:tcPr>
            <w:tcW w:type="dxa" w:w="1814"/>
          </w:tcPr>
          <w:p>
            <w:pPr>
              <w:spacing w:after="20" w:before="20"/>
            </w:pPr>
            <w:r/>
            <w:r>
              <w:rPr>
                <w:rFonts w:ascii="游ゴシック" w:hAnsi="游ゴシック" w:eastAsia="游ゴシック"/>
                <w:b w:val="0"/>
                <w:sz w:val="18"/>
              </w:rPr>
              <w:t>最終確認</w:t>
            </w:r>
          </w:p>
        </w:tc>
        <w:tc>
          <w:tcPr>
            <w:tcW w:type="dxa" w:w="2948"/>
          </w:tcPr>
          <w:p>
            <w:pPr>
              <w:spacing w:after="20" w:before="20"/>
            </w:pPr>
            <w:r/>
            <w:r>
              <w:rPr>
                <w:rFonts w:ascii="游ゴシック" w:hAnsi="游ゴシック" w:eastAsia="游ゴシック"/>
                <w:b w:val="0"/>
                <w:sz w:val="18"/>
              </w:rPr>
              <w:t>内容、数値、表記及び版の確定</w:t>
            </w:r>
          </w:p>
        </w:tc>
        <w:tc>
          <w:tcPr>
            <w:tcW w:type="dxa" w:w="2494"/>
          </w:tcPr>
          <w:p>
            <w:pPr>
              <w:spacing w:after="20" w:before="20"/>
            </w:pPr>
            <w:r/>
            <w:r>
              <w:rPr>
                <w:rFonts w:ascii="游ゴシック" w:hAnsi="游ゴシック" w:eastAsia="游ゴシック"/>
                <w:b w:val="0"/>
                <w:sz w:val="18"/>
              </w:rPr>
              <w:t>最終原稿、校正紙</w:t>
            </w:r>
          </w:p>
        </w:tc>
        <w:tc>
          <w:tcPr>
            <w:tcW w:type="dxa" w:w="2494"/>
          </w:tcPr>
          <w:p>
            <w:pPr>
              <w:spacing w:after="20" w:before="20"/>
            </w:pPr>
            <w:r/>
            <w:r>
              <w:rPr>
                <w:rFonts w:ascii="游ゴシック" w:hAnsi="游ゴシック" w:eastAsia="游ゴシック"/>
                <w:b w:val="0"/>
                <w:sz w:val="18"/>
              </w:rPr>
              <w:t>校了記録、納品一覧</w:t>
            </w:r>
          </w:p>
        </w:tc>
      </w:tr>
    </w:tbl>
    <w:p>
      <w:pPr>
        <w:spacing w:after="80"/>
      </w:pPr>
    </w:p>
    <w:p>
      <w:pPr>
        <w:spacing w:after="120" w:before="0" w:line="276" w:lineRule="auto"/>
      </w:pPr>
      <w:r>
        <w:rPr>
          <w:rFonts w:ascii="游ゴシック" w:hAnsi="游ゴシック" w:eastAsia="游ゴシック"/>
          <w:b w:val="0"/>
          <w:sz w:val="20"/>
        </w:rPr>
        <w:t>原稿レビューの方法（確認範囲・締切・判断事項の示し方、3町意見の採否と理由の記録方法、数値の追跡方法、段階承認の記録）は、別冊のヒアリングシート 項目11でご確認をお願いします。</w:t>
      </w:r>
    </w:p>
    <w:p>
      <w:pPr>
        <w:spacing w:before="240" w:after="100"/>
      </w:pPr>
      <w:r>
        <w:rPr>
          <w:rFonts w:ascii="游ゴシック" w:hAnsi="游ゴシック" w:eastAsia="游ゴシック"/>
          <w:b/>
          <w:color w:val="1F3864"/>
          <w:sz w:val="26"/>
        </w:rPr>
        <w:t>10. 工程表（案）</w:t>
      </w:r>
    </w:p>
    <w:p>
      <w:pPr>
        <w:spacing w:after="120" w:before="0" w:line="276" w:lineRule="auto"/>
      </w:pPr>
      <w:r>
        <w:rPr>
          <w:rFonts w:ascii="游ゴシック" w:hAnsi="游ゴシック" w:eastAsia="游ゴシック"/>
          <w:b w:val="0"/>
          <w:sz w:val="21"/>
        </w:rPr>
        <w:t>詳細はExcel工程表で週単位に管理し、次の節目を基本とします。</w:t>
      </w:r>
    </w:p>
    <w:tbl>
      <w:tblPr>
        <w:tblStyle w:val="TableGrid"/>
        <w:tblW w:type="auto" w:w="0"/>
        <w:jc w:val="center"/>
        <w:tblLook w:firstColumn="1" w:firstRow="1" w:lastColumn="0" w:lastRow="0" w:noHBand="0" w:noVBand="1" w:val="04A0"/>
      </w:tblPr>
      <w:tblGrid>
        <w:gridCol w:w="3251"/>
        <w:gridCol w:w="3251"/>
        <w:gridCol w:w="3251"/>
      </w:tblGrid>
      <w:tr>
        <w:tc>
          <w:tcPr>
            <w:tcW w:type="dxa" w:w="1701"/>
            <w:shd w:val="clear" w:fill="1F3864"/>
          </w:tcPr>
          <w:p>
            <w:pPr>
              <w:spacing w:after="20" w:before="20"/>
            </w:pPr>
            <w:r/>
            <w:r>
              <w:rPr>
                <w:rFonts w:ascii="游ゴシック" w:hAnsi="游ゴシック" w:eastAsia="游ゴシック"/>
                <w:b/>
                <w:color w:val="FFFFFF"/>
                <w:sz w:val="18"/>
              </w:rPr>
              <w:t>時期</w:t>
            </w:r>
          </w:p>
        </w:tc>
        <w:tc>
          <w:tcPr>
            <w:tcW w:type="dxa" w:w="4195"/>
            <w:shd w:val="clear" w:fill="1F3864"/>
          </w:tcPr>
          <w:p>
            <w:pPr>
              <w:spacing w:after="20" w:before="20"/>
            </w:pPr>
            <w:r/>
            <w:r>
              <w:rPr>
                <w:rFonts w:ascii="游ゴシック" w:hAnsi="游ゴシック" w:eastAsia="游ゴシック"/>
                <w:b/>
                <w:color w:val="FFFFFF"/>
                <w:sz w:val="18"/>
              </w:rPr>
              <w:t>重点作業</w:t>
            </w:r>
          </w:p>
        </w:tc>
        <w:tc>
          <w:tcPr>
            <w:tcW w:type="dxa" w:w="3855"/>
            <w:shd w:val="clear" w:fill="1F3864"/>
          </w:tcPr>
          <w:p>
            <w:pPr>
              <w:spacing w:after="20" w:before="20"/>
            </w:pPr>
            <w:r/>
            <w:r>
              <w:rPr>
                <w:rFonts w:ascii="游ゴシック" w:hAnsi="游ゴシック" w:eastAsia="游ゴシック"/>
                <w:b/>
                <w:color w:val="FFFFFF"/>
                <w:sz w:val="18"/>
              </w:rPr>
              <w:t>主な成果・判断</w:t>
            </w:r>
          </w:p>
        </w:tc>
      </w:tr>
      <w:tr>
        <w:tc>
          <w:tcPr>
            <w:tcW w:type="dxa" w:w="1701"/>
          </w:tcPr>
          <w:p>
            <w:pPr>
              <w:spacing w:after="20" w:before="20"/>
            </w:pPr>
            <w:r/>
            <w:r>
              <w:rPr>
                <w:rFonts w:ascii="游ゴシック" w:hAnsi="游ゴシック" w:eastAsia="游ゴシック"/>
                <w:b w:val="0"/>
                <w:sz w:val="18"/>
              </w:rPr>
              <w:t>令和8年8月上旬</w:t>
            </w:r>
          </w:p>
        </w:tc>
        <w:tc>
          <w:tcPr>
            <w:tcW w:type="dxa" w:w="4195"/>
          </w:tcPr>
          <w:p>
            <w:pPr>
              <w:spacing w:after="20" w:before="20"/>
            </w:pPr>
            <w:r/>
            <w:r>
              <w:rPr>
                <w:rFonts w:ascii="游ゴシック" w:hAnsi="游ゴシック" w:eastAsia="游ゴシック"/>
                <w:b w:val="0"/>
                <w:sz w:val="18"/>
              </w:rPr>
              <w:t>工程開始、キックオフ資料第6稿、計画素案第10稿、第1回委員会資料、代表KPIの定義</w:t>
            </w:r>
          </w:p>
        </w:tc>
        <w:tc>
          <w:tcPr>
            <w:tcW w:type="dxa" w:w="3855"/>
          </w:tcPr>
          <w:p>
            <w:pPr>
              <w:spacing w:after="20" w:before="20"/>
            </w:pPr>
            <w:r/>
            <w:r>
              <w:rPr>
                <w:rFonts w:ascii="游ゴシック" w:hAnsi="游ゴシック" w:eastAsia="游ゴシック"/>
                <w:b w:val="0"/>
                <w:sz w:val="18"/>
              </w:rPr>
              <w:t>評価枠組み・推計の前提・供給制約・役割分担の共有</w:t>
            </w:r>
          </w:p>
        </w:tc>
      </w:tr>
      <w:tr>
        <w:tc>
          <w:tcPr>
            <w:tcW w:type="dxa" w:w="1701"/>
          </w:tcPr>
          <w:p>
            <w:pPr>
              <w:spacing w:after="20" w:before="20"/>
            </w:pPr>
            <w:r/>
            <w:r>
              <w:rPr>
                <w:rFonts w:ascii="游ゴシック" w:hAnsi="游ゴシック" w:eastAsia="游ゴシック"/>
                <w:b w:val="0"/>
                <w:sz w:val="18"/>
              </w:rPr>
              <w:t>8月中旬～下旬</w:t>
            </w:r>
          </w:p>
        </w:tc>
        <w:tc>
          <w:tcPr>
            <w:tcW w:type="dxa" w:w="4195"/>
          </w:tcPr>
          <w:p>
            <w:pPr>
              <w:spacing w:after="20" w:before="20"/>
            </w:pPr>
            <w:r/>
            <w:r>
              <w:rPr>
                <w:rFonts w:ascii="游ゴシック" w:hAnsi="游ゴシック" w:eastAsia="游ゴシック"/>
                <w:b w:val="0"/>
                <w:sz w:val="18"/>
              </w:rPr>
              <w:t>令和6～8年度実績の受領、3調査の点検事項の解消（重大5件のご意向の確認）</w:t>
            </w:r>
          </w:p>
        </w:tc>
        <w:tc>
          <w:tcPr>
            <w:tcW w:type="dxa" w:w="3855"/>
          </w:tcPr>
          <w:p>
            <w:pPr>
              <w:spacing w:after="20" w:before="20"/>
            </w:pPr>
            <w:r/>
            <w:r>
              <w:rPr>
                <w:rFonts w:ascii="游ゴシック" w:hAnsi="游ゴシック" w:eastAsia="游ゴシック"/>
                <w:b w:val="0"/>
                <w:sz w:val="18"/>
              </w:rPr>
              <w:t>評価根拠、調査結果の計画本文への反映</w:t>
            </w:r>
          </w:p>
        </w:tc>
      </w:tr>
      <w:tr>
        <w:tc>
          <w:tcPr>
            <w:tcW w:type="dxa" w:w="1701"/>
          </w:tcPr>
          <w:p>
            <w:pPr>
              <w:spacing w:after="20" w:before="20"/>
            </w:pPr>
            <w:r/>
            <w:r>
              <w:rPr>
                <w:rFonts w:ascii="游ゴシック" w:hAnsi="游ゴシック" w:eastAsia="游ゴシック"/>
                <w:b w:val="0"/>
                <w:sz w:val="18"/>
              </w:rPr>
              <w:t>9月</w:t>
            </w:r>
          </w:p>
        </w:tc>
        <w:tc>
          <w:tcPr>
            <w:tcW w:type="dxa" w:w="4195"/>
          </w:tcPr>
          <w:p>
            <w:pPr>
              <w:spacing w:after="20" w:before="20"/>
            </w:pPr>
            <w:r/>
            <w:r>
              <w:rPr>
                <w:rFonts w:ascii="游ゴシック" w:hAnsi="游ゴシック" w:eastAsia="游ゴシック"/>
                <w:b w:val="0"/>
                <w:sz w:val="18"/>
              </w:rPr>
              <w:t>実績評価、サービス種別・要介護度別の受給者数の受領、見える化・3町比較</w:t>
            </w:r>
          </w:p>
        </w:tc>
        <w:tc>
          <w:tcPr>
            <w:tcW w:type="dxa" w:w="3855"/>
          </w:tcPr>
          <w:p>
            <w:pPr>
              <w:spacing w:after="20" w:before="20"/>
            </w:pPr>
            <w:r/>
            <w:r>
              <w:rPr>
                <w:rFonts w:ascii="游ゴシック" w:hAnsi="游ゴシック" w:eastAsia="游ゴシック"/>
                <w:b w:val="0"/>
                <w:sz w:val="18"/>
              </w:rPr>
              <w:t>第9期評価案、現状分析、地域課題</w:t>
            </w:r>
          </w:p>
        </w:tc>
      </w:tr>
      <w:tr>
        <w:tc>
          <w:tcPr>
            <w:tcW w:type="dxa" w:w="1701"/>
          </w:tcPr>
          <w:p>
            <w:pPr>
              <w:spacing w:after="20" w:before="20"/>
            </w:pPr>
            <w:r/>
            <w:r>
              <w:rPr>
                <w:rFonts w:ascii="游ゴシック" w:hAnsi="游ゴシック" w:eastAsia="游ゴシック"/>
                <w:b w:val="0"/>
                <w:sz w:val="18"/>
              </w:rPr>
              <w:t>10月</w:t>
            </w:r>
          </w:p>
        </w:tc>
        <w:tc>
          <w:tcPr>
            <w:tcW w:type="dxa" w:w="4195"/>
          </w:tcPr>
          <w:p>
            <w:pPr>
              <w:spacing w:after="20" w:before="20"/>
            </w:pPr>
            <w:r/>
            <w:r>
              <w:rPr>
                <w:rFonts w:ascii="游ゴシック" w:hAnsi="游ゴシック" w:eastAsia="游ゴシック"/>
                <w:b w:val="0"/>
                <w:sz w:val="18"/>
              </w:rPr>
              <w:t>認定率のシナリオの決定、第2段階（サービス見込量）、供給制約分析、KPI、3町調整</w:t>
            </w:r>
          </w:p>
        </w:tc>
        <w:tc>
          <w:tcPr>
            <w:tcW w:type="dxa" w:w="3855"/>
          </w:tcPr>
          <w:p>
            <w:pPr>
              <w:spacing w:after="20" w:before="20"/>
            </w:pPr>
            <w:r/>
            <w:r>
              <w:rPr>
                <w:rFonts w:ascii="游ゴシック" w:hAnsi="游ゴシック" w:eastAsia="游ゴシック"/>
                <w:b w:val="0"/>
                <w:sz w:val="18"/>
              </w:rPr>
              <w:t>見込量案、骨子・KPI目標、町別論点</w:t>
            </w:r>
          </w:p>
        </w:tc>
      </w:tr>
      <w:tr>
        <w:tc>
          <w:tcPr>
            <w:tcW w:type="dxa" w:w="1701"/>
          </w:tcPr>
          <w:p>
            <w:pPr>
              <w:spacing w:after="20" w:before="20"/>
            </w:pPr>
            <w:r/>
            <w:r>
              <w:rPr>
                <w:rFonts w:ascii="游ゴシック" w:hAnsi="游ゴシック" w:eastAsia="游ゴシック"/>
                <w:b w:val="0"/>
                <w:sz w:val="18"/>
              </w:rPr>
              <w:t>11月</w:t>
            </w:r>
          </w:p>
        </w:tc>
        <w:tc>
          <w:tcPr>
            <w:tcW w:type="dxa" w:w="4195"/>
          </w:tcPr>
          <w:p>
            <w:pPr>
              <w:spacing w:after="20" w:before="20"/>
            </w:pPr>
            <w:r/>
            <w:r>
              <w:rPr>
                <w:rFonts w:ascii="游ゴシック" w:hAnsi="游ゴシック" w:eastAsia="游ゴシック"/>
                <w:b w:val="0"/>
                <w:sz w:val="18"/>
              </w:rPr>
              <w:t>計画素案更新、第3段階（給付費・保険料）の複数シナリオ</w:t>
            </w:r>
          </w:p>
        </w:tc>
        <w:tc>
          <w:tcPr>
            <w:tcW w:type="dxa" w:w="3855"/>
          </w:tcPr>
          <w:p>
            <w:pPr>
              <w:spacing w:after="20" w:before="20"/>
            </w:pPr>
            <w:r/>
            <w:r>
              <w:rPr>
                <w:rFonts w:ascii="游ゴシック" w:hAnsi="游ゴシック" w:eastAsia="游ゴシック"/>
                <w:b w:val="0"/>
                <w:sz w:val="18"/>
              </w:rPr>
              <w:t>計画素案次稿、試算比較表</w:t>
            </w:r>
          </w:p>
        </w:tc>
      </w:tr>
      <w:tr>
        <w:tc>
          <w:tcPr>
            <w:tcW w:type="dxa" w:w="1701"/>
          </w:tcPr>
          <w:p>
            <w:pPr>
              <w:spacing w:after="20" w:before="20"/>
            </w:pPr>
            <w:r/>
            <w:r>
              <w:rPr>
                <w:rFonts w:ascii="游ゴシック" w:hAnsi="游ゴシック" w:eastAsia="游ゴシック"/>
                <w:b w:val="0"/>
                <w:sz w:val="18"/>
              </w:rPr>
              <w:t>12月</w:t>
            </w:r>
          </w:p>
        </w:tc>
        <w:tc>
          <w:tcPr>
            <w:tcW w:type="dxa" w:w="4195"/>
          </w:tcPr>
          <w:p>
            <w:pPr>
              <w:spacing w:after="20" w:before="20"/>
            </w:pPr>
            <w:r/>
            <w:r>
              <w:rPr>
                <w:rFonts w:ascii="游ゴシック" w:hAnsi="游ゴシック" w:eastAsia="游ゴシック"/>
                <w:b w:val="0"/>
                <w:sz w:val="18"/>
              </w:rPr>
              <w:t>計画案、採用シナリオ、令和9年度予算編成支援</w:t>
            </w:r>
          </w:p>
        </w:tc>
        <w:tc>
          <w:tcPr>
            <w:tcW w:type="dxa" w:w="3855"/>
          </w:tcPr>
          <w:p>
            <w:pPr>
              <w:spacing w:after="20" w:before="20"/>
            </w:pPr>
            <w:r/>
            <w:r>
              <w:rPr>
                <w:rFonts w:ascii="游ゴシック" w:hAnsi="游ゴシック" w:eastAsia="游ゴシック"/>
                <w:b w:val="0"/>
                <w:sz w:val="18"/>
              </w:rPr>
              <w:t>計画案、暫定サービス量・事業費・保険料</w:t>
            </w:r>
          </w:p>
        </w:tc>
      </w:tr>
      <w:tr>
        <w:tc>
          <w:tcPr>
            <w:tcW w:type="dxa" w:w="1701"/>
          </w:tcPr>
          <w:p>
            <w:pPr>
              <w:spacing w:after="20" w:before="20"/>
            </w:pPr>
            <w:r/>
            <w:r>
              <w:rPr>
                <w:rFonts w:ascii="游ゴシック" w:hAnsi="游ゴシック" w:eastAsia="游ゴシック"/>
                <w:b w:val="0"/>
                <w:sz w:val="18"/>
              </w:rPr>
              <w:t>令和9年1月</w:t>
            </w:r>
          </w:p>
        </w:tc>
        <w:tc>
          <w:tcPr>
            <w:tcW w:type="dxa" w:w="4195"/>
          </w:tcPr>
          <w:p>
            <w:pPr>
              <w:spacing w:after="20" w:before="20"/>
            </w:pPr>
            <w:r/>
            <w:r>
              <w:rPr>
                <w:rFonts w:ascii="游ゴシック" w:hAnsi="游ゴシック" w:eastAsia="游ゴシック"/>
                <w:b w:val="0"/>
                <w:sz w:val="18"/>
              </w:rPr>
              <w:t>運営協議会、パブリックコメント、制度動向反映</w:t>
            </w:r>
          </w:p>
        </w:tc>
        <w:tc>
          <w:tcPr>
            <w:tcW w:type="dxa" w:w="3855"/>
          </w:tcPr>
          <w:p>
            <w:pPr>
              <w:spacing w:after="20" w:before="20"/>
            </w:pPr>
            <w:r/>
            <w:r>
              <w:rPr>
                <w:rFonts w:ascii="游ゴシック" w:hAnsi="游ゴシック" w:eastAsia="游ゴシック"/>
                <w:b w:val="0"/>
                <w:sz w:val="18"/>
              </w:rPr>
              <w:t>公表案、意見整理、更新試算</w:t>
            </w:r>
          </w:p>
        </w:tc>
      </w:tr>
      <w:tr>
        <w:tc>
          <w:tcPr>
            <w:tcW w:type="dxa" w:w="1701"/>
          </w:tcPr>
          <w:p>
            <w:pPr>
              <w:spacing w:after="20" w:before="20"/>
            </w:pPr>
            <w:r/>
            <w:r>
              <w:rPr>
                <w:rFonts w:ascii="游ゴシック" w:hAnsi="游ゴシック" w:eastAsia="游ゴシック"/>
                <w:b w:val="0"/>
                <w:sz w:val="18"/>
              </w:rPr>
              <w:t>2月</w:t>
            </w:r>
          </w:p>
        </w:tc>
        <w:tc>
          <w:tcPr>
            <w:tcW w:type="dxa" w:w="4195"/>
          </w:tcPr>
          <w:p>
            <w:pPr>
              <w:spacing w:after="20" w:before="20"/>
            </w:pPr>
            <w:r/>
            <w:r>
              <w:rPr>
                <w:rFonts w:ascii="游ゴシック" w:hAnsi="游ゴシック" w:eastAsia="游ゴシック"/>
                <w:b w:val="0"/>
                <w:sz w:val="18"/>
              </w:rPr>
              <w:t>意見反映、最終協議、原稿・数値確定</w:t>
            </w:r>
          </w:p>
        </w:tc>
        <w:tc>
          <w:tcPr>
            <w:tcW w:type="dxa" w:w="3855"/>
          </w:tcPr>
          <w:p>
            <w:pPr>
              <w:spacing w:after="20" w:before="20"/>
            </w:pPr>
            <w:r/>
            <w:r>
              <w:rPr>
                <w:rFonts w:ascii="游ゴシック" w:hAnsi="游ゴシック" w:eastAsia="游ゴシック"/>
                <w:b w:val="0"/>
                <w:sz w:val="18"/>
              </w:rPr>
              <w:t>最終案、校正原稿、採用値</w:t>
            </w:r>
          </w:p>
        </w:tc>
      </w:tr>
      <w:tr>
        <w:tc>
          <w:tcPr>
            <w:tcW w:type="dxa" w:w="1701"/>
          </w:tcPr>
          <w:p>
            <w:pPr>
              <w:spacing w:after="20" w:before="20"/>
            </w:pPr>
            <w:r/>
            <w:r>
              <w:rPr>
                <w:rFonts w:ascii="游ゴシック" w:hAnsi="游ゴシック" w:eastAsia="游ゴシック"/>
                <w:b w:val="0"/>
                <w:sz w:val="18"/>
              </w:rPr>
              <w:t>3月～3月26日</w:t>
            </w:r>
          </w:p>
        </w:tc>
        <w:tc>
          <w:tcPr>
            <w:tcW w:type="dxa" w:w="4195"/>
          </w:tcPr>
          <w:p>
            <w:pPr>
              <w:spacing w:after="20" w:before="20"/>
            </w:pPr>
            <w:r/>
            <w:r>
              <w:rPr>
                <w:rFonts w:ascii="游ゴシック" w:hAnsi="游ゴシック" w:eastAsia="游ゴシック"/>
                <w:b w:val="0"/>
                <w:sz w:val="18"/>
              </w:rPr>
              <w:t>校正、校了、印刷、電子データ整理・納品</w:t>
            </w:r>
          </w:p>
        </w:tc>
        <w:tc>
          <w:tcPr>
            <w:tcW w:type="dxa" w:w="3855"/>
          </w:tcPr>
          <w:p>
            <w:pPr>
              <w:spacing w:after="20" w:before="20"/>
            </w:pPr>
            <w:r/>
            <w:r>
              <w:rPr>
                <w:rFonts w:ascii="游ゴシック" w:hAnsi="游ゴシック" w:eastAsia="游ゴシック"/>
                <w:b w:val="0"/>
                <w:sz w:val="18"/>
              </w:rPr>
              <w:t>計画書200部、編集可能データ、PDF、分析資料等</w:t>
            </w:r>
          </w:p>
        </w:tc>
      </w:tr>
    </w:tbl>
    <w:p>
      <w:pPr>
        <w:spacing w:after="80"/>
      </w:pPr>
    </w:p>
    <w:p>
      <w:pPr>
        <w:spacing w:after="60" w:before="0" w:line="276" w:lineRule="auto"/>
      </w:pPr>
      <w:r>
        <w:rPr>
          <w:rFonts w:ascii="游ゴシック" w:hAnsi="游ゴシック" w:eastAsia="游ゴシック"/>
          <w:b w:val="0"/>
          <w:sz w:val="19"/>
        </w:rPr>
        <w:t>※ 国の基本指針・制度改正の公表時期、会議日程及びパブリックコメント期間により調整します。変更時は後続工程への影響と代替日を同時に更新します。策定委員会の開催日程が未確定のため、各時期は日程の確定後に確定します。</w:t>
      </w:r>
    </w:p>
    <w:p>
      <w:pPr>
        <w:spacing w:after="120" w:before="0" w:line="276" w:lineRule="auto"/>
      </w:pPr>
      <w:r>
        <w:rPr>
          <w:rFonts w:ascii="游ゴシック" w:hAnsi="游ゴシック" w:eastAsia="游ゴシック"/>
          <w:b w:val="0"/>
          <w:sz w:val="19"/>
        </w:rPr>
        <w:t>※ 12月までに必要な状態は次のとおりです。①委員会と令和9年度予算編成に使えるサービス見込量・事業費の暫定値が整理されていること。②自然体と複数シナリオの差、基金・制度・供給制約による変動要因が説明できること。③前提条件、データ時点、参照セル、計算式及び試算版を明記し、更新履歴を残すこと。</w:t>
      </w:r>
    </w:p>
    <w:p>
      <w:pPr>
        <w:spacing w:before="240" w:after="100"/>
      </w:pPr>
      <w:r>
        <w:rPr>
          <w:rFonts w:ascii="游ゴシック" w:hAnsi="游ゴシック" w:eastAsia="游ゴシック"/>
          <w:b/>
          <w:color w:val="1F3864"/>
          <w:sz w:val="26"/>
        </w:rPr>
        <w:t>11. 成果物・準備資料・レビュー方法</w:t>
      </w:r>
    </w:p>
    <w:p>
      <w:pPr>
        <w:spacing w:after="120" w:before="0" w:line="276" w:lineRule="auto"/>
      </w:pPr>
      <w:r>
        <w:rPr>
          <w:rFonts w:ascii="游ゴシック" w:hAnsi="游ゴシック" w:eastAsia="游ゴシック"/>
          <w:b w:val="0"/>
          <w:sz w:val="21"/>
        </w:rPr>
        <w:t>最終納品物だけでなく、計画素案、分析資料、管理表等を途中成果として確認単位に設定します。成果品の内容、読む順序及び仕様書４（10）の納品物との対応は別冊「成果品一覧」に整理しています。原稿、数値表、図表及び試算表は、参照関係と更新履歴を崩さないよう一元管理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701"/>
            <w:shd w:val="clear" w:fill="1F3864"/>
          </w:tcPr>
          <w:p>
            <w:pPr>
              <w:spacing w:after="20" w:before="20"/>
            </w:pPr>
            <w:r/>
            <w:r>
              <w:rPr>
                <w:rFonts w:ascii="游ゴシック" w:hAnsi="游ゴシック" w:eastAsia="游ゴシック"/>
                <w:b/>
                <w:color w:val="FFFFFF"/>
                <w:sz w:val="18"/>
              </w:rPr>
              <w:t>成果物・作業</w:t>
            </w:r>
          </w:p>
        </w:tc>
        <w:tc>
          <w:tcPr>
            <w:tcW w:type="dxa" w:w="2041"/>
            <w:shd w:val="clear" w:fill="1F3864"/>
          </w:tcPr>
          <w:p>
            <w:pPr>
              <w:spacing w:after="20" w:before="20"/>
            </w:pPr>
            <w:r/>
            <w:r>
              <w:rPr>
                <w:rFonts w:ascii="游ゴシック" w:hAnsi="游ゴシック" w:eastAsia="游ゴシック"/>
                <w:b/>
                <w:color w:val="FFFFFF"/>
                <w:sz w:val="18"/>
              </w:rPr>
              <w:t>現在の状況</w:t>
            </w:r>
          </w:p>
        </w:tc>
        <w:tc>
          <w:tcPr>
            <w:tcW w:type="dxa" w:w="3402"/>
            <w:shd w:val="clear" w:fill="1F3864"/>
          </w:tcPr>
          <w:p>
            <w:pPr>
              <w:spacing w:after="20" w:before="20"/>
            </w:pPr>
            <w:r/>
            <w:r>
              <w:rPr>
                <w:rFonts w:ascii="游ゴシック" w:hAnsi="游ゴシック" w:eastAsia="游ゴシック"/>
                <w:b/>
                <w:color w:val="FFFFFF"/>
                <w:sz w:val="18"/>
              </w:rPr>
              <w:t>確認済みの内容</w:t>
            </w:r>
          </w:p>
        </w:tc>
        <w:tc>
          <w:tcPr>
            <w:tcW w:type="dxa" w:w="2608"/>
            <w:shd w:val="clear" w:fill="1F3864"/>
          </w:tcPr>
          <w:p>
            <w:pPr>
              <w:spacing w:after="20" w:before="20"/>
            </w:pPr>
            <w:r/>
            <w:r>
              <w:rPr>
                <w:rFonts w:ascii="游ゴシック" w:hAnsi="游ゴシック" w:eastAsia="游ゴシック"/>
                <w:b/>
                <w:color w:val="FFFFFF"/>
                <w:sz w:val="18"/>
              </w:rPr>
              <w:t>次の対応</w:t>
            </w:r>
          </w:p>
        </w:tc>
      </w:tr>
      <w:tr>
        <w:tc>
          <w:tcPr>
            <w:tcW w:type="dxa" w:w="1701"/>
          </w:tcPr>
          <w:p>
            <w:pPr>
              <w:spacing w:after="20" w:before="20"/>
            </w:pPr>
            <w:r/>
            <w:r>
              <w:rPr>
                <w:rFonts w:ascii="游ゴシック" w:hAnsi="游ゴシック" w:eastAsia="游ゴシック"/>
                <w:b w:val="0"/>
                <w:sz w:val="18"/>
              </w:rPr>
              <w:t>計画素案</w:t>
            </w:r>
          </w:p>
        </w:tc>
        <w:tc>
          <w:tcPr>
            <w:tcW w:type="dxa" w:w="2041"/>
          </w:tcPr>
          <w:p>
            <w:pPr>
              <w:spacing w:after="20" w:before="20"/>
            </w:pPr>
            <w:r/>
            <w:r>
              <w:rPr>
                <w:rFonts w:ascii="游ゴシック" w:hAnsi="游ゴシック" w:eastAsia="游ゴシック"/>
                <w:b w:val="0"/>
                <w:sz w:val="18"/>
              </w:rPr>
              <w:t>第10稿作成済</w:t>
            </w:r>
          </w:p>
        </w:tc>
        <w:tc>
          <w:tcPr>
            <w:tcW w:type="dxa" w:w="3402"/>
          </w:tcPr>
          <w:p>
            <w:pPr>
              <w:spacing w:after="20" w:before="20"/>
            </w:pPr>
            <w:r/>
            <w:r>
              <w:rPr>
                <w:rFonts w:ascii="游ゴシック" w:hAnsi="游ゴシック" w:eastAsia="游ゴシック"/>
                <w:b w:val="0"/>
                <w:sz w:val="18"/>
              </w:rPr>
              <w:t>人口の基礎、給付水準の管内での位置、自給率、長期でみた到達点、認定者数の3シナリオを反映</w:t>
            </w:r>
          </w:p>
        </w:tc>
        <w:tc>
          <w:tcPr>
            <w:tcW w:type="dxa" w:w="2608"/>
          </w:tcPr>
          <w:p>
            <w:pPr>
              <w:spacing w:after="20" w:before="20"/>
            </w:pPr>
            <w:r/>
            <w:r>
              <w:rPr>
                <w:rFonts w:ascii="游ゴシック" w:hAnsi="游ゴシック" w:eastAsia="游ゴシック"/>
                <w:b w:val="0"/>
                <w:sz w:val="18"/>
              </w:rPr>
              <w:t>実績・調査結果・委員会意見を反映</w:t>
            </w:r>
          </w:p>
        </w:tc>
      </w:tr>
      <w:tr>
        <w:tc>
          <w:tcPr>
            <w:tcW w:type="dxa" w:w="1701"/>
          </w:tcPr>
          <w:p>
            <w:pPr>
              <w:spacing w:after="20" w:before="20"/>
            </w:pPr>
            <w:r/>
            <w:r>
              <w:rPr>
                <w:rFonts w:ascii="游ゴシック" w:hAnsi="游ゴシック" w:eastAsia="游ゴシック"/>
                <w:b w:val="0"/>
                <w:sz w:val="18"/>
              </w:rPr>
              <w:t>第9期評価・KPI</w:t>
            </w:r>
          </w:p>
        </w:tc>
        <w:tc>
          <w:tcPr>
            <w:tcW w:type="dxa" w:w="2041"/>
          </w:tcPr>
          <w:p>
            <w:pPr>
              <w:spacing w:after="20" w:before="20"/>
            </w:pPr>
            <w:r/>
            <w:r>
              <w:rPr>
                <w:rFonts w:ascii="游ゴシック" w:hAnsi="游ゴシック" w:eastAsia="游ゴシック"/>
                <w:b w:val="0"/>
                <w:sz w:val="18"/>
              </w:rPr>
              <w:t>妥当性検証報告書、代表KPIの定義を作成済</w:t>
            </w:r>
          </w:p>
        </w:tc>
        <w:tc>
          <w:tcPr>
            <w:tcW w:type="dxa" w:w="3402"/>
          </w:tcPr>
          <w:p>
            <w:pPr>
              <w:spacing w:after="20" w:before="20"/>
            </w:pPr>
            <w:r/>
            <w:r>
              <w:rPr>
                <w:rFonts w:ascii="游ゴシック" w:hAnsi="游ゴシック" w:eastAsia="游ゴシック"/>
                <w:b w:val="0"/>
                <w:sz w:val="18"/>
              </w:rPr>
              <w:t>19施策中6施策は部分評価可能、13施策は指標不足。H01は見える化W144（9.25％）</w:t>
            </w:r>
          </w:p>
        </w:tc>
        <w:tc>
          <w:tcPr>
            <w:tcW w:type="dxa" w:w="2608"/>
          </w:tcPr>
          <w:p>
            <w:pPr>
              <w:spacing w:after="20" w:before="20"/>
            </w:pPr>
            <w:r/>
            <w:r>
              <w:rPr>
                <w:rFonts w:ascii="游ゴシック" w:hAnsi="游ゴシック" w:eastAsia="游ゴシック"/>
                <w:b w:val="0"/>
                <w:sz w:val="18"/>
              </w:rPr>
              <w:t>令和6～8年度実績で達成度・基準値を確定</w:t>
            </w:r>
          </w:p>
        </w:tc>
      </w:tr>
      <w:tr>
        <w:tc>
          <w:tcPr>
            <w:tcW w:type="dxa" w:w="1701"/>
          </w:tcPr>
          <w:p>
            <w:pPr>
              <w:spacing w:after="20" w:before="20"/>
            </w:pPr>
            <w:r/>
            <w:r>
              <w:rPr>
                <w:rFonts w:ascii="游ゴシック" w:hAnsi="游ゴシック" w:eastAsia="游ゴシック"/>
                <w:b w:val="0"/>
                <w:sz w:val="18"/>
              </w:rPr>
              <w:t>将来推計</w:t>
            </w:r>
          </w:p>
        </w:tc>
        <w:tc>
          <w:tcPr>
            <w:tcW w:type="dxa" w:w="2041"/>
          </w:tcPr>
          <w:p>
            <w:pPr>
              <w:spacing w:after="20" w:before="20"/>
            </w:pPr>
            <w:r/>
            <w:r>
              <w:rPr>
                <w:rFonts w:ascii="游ゴシック" w:hAnsi="游ゴシック" w:eastAsia="游ゴシック"/>
                <w:b w:val="0"/>
                <w:sz w:val="18"/>
              </w:rPr>
              <w:t>第1段階（人口と認定者数）完了</w:t>
            </w:r>
          </w:p>
        </w:tc>
        <w:tc>
          <w:tcPr>
            <w:tcW w:type="dxa" w:w="3402"/>
          </w:tcPr>
          <w:p>
            <w:pPr>
              <w:spacing w:after="20" w:before="20"/>
            </w:pPr>
            <w:r/>
            <w:r>
              <w:rPr>
                <w:rFonts w:ascii="游ゴシック" w:hAnsi="游ゴシック" w:eastAsia="游ゴシック"/>
                <w:b w:val="0"/>
                <w:sz w:val="18"/>
              </w:rPr>
              <w:t>基準年度の推計値が実績1,984人と一致。令和11年度の認定者数は2,004〜2,112人</w:t>
            </w:r>
          </w:p>
        </w:tc>
        <w:tc>
          <w:tcPr>
            <w:tcW w:type="dxa" w:w="2608"/>
          </w:tcPr>
          <w:p>
            <w:pPr>
              <w:spacing w:after="20" w:before="20"/>
            </w:pPr>
            <w:r/>
            <w:r>
              <w:rPr>
                <w:rFonts w:ascii="游ゴシック" w:hAnsi="游ゴシック" w:eastAsia="游ゴシック"/>
                <w:b w:val="0"/>
                <w:sz w:val="18"/>
              </w:rPr>
              <w:t>要介護度別認定者数は令和8年8月4日に受領済。第2段階の着手へ</w:t>
            </w:r>
          </w:p>
        </w:tc>
      </w:tr>
      <w:tr>
        <w:tc>
          <w:tcPr>
            <w:tcW w:type="dxa" w:w="1701"/>
          </w:tcPr>
          <w:p>
            <w:pPr>
              <w:spacing w:after="20" w:before="20"/>
            </w:pPr>
            <w:r/>
            <w:r>
              <w:rPr>
                <w:rFonts w:ascii="游ゴシック" w:hAnsi="游ゴシック" w:eastAsia="游ゴシック"/>
                <w:b w:val="0"/>
                <w:sz w:val="18"/>
              </w:rPr>
              <w:t>自然体推計・保険料</w:t>
            </w:r>
          </w:p>
        </w:tc>
        <w:tc>
          <w:tcPr>
            <w:tcW w:type="dxa" w:w="2041"/>
          </w:tcPr>
          <w:p>
            <w:pPr>
              <w:spacing w:after="20" w:before="20"/>
            </w:pPr>
            <w:r/>
            <w:r>
              <w:rPr>
                <w:rFonts w:ascii="游ゴシック" w:hAnsi="游ゴシック" w:eastAsia="游ゴシック"/>
                <w:b w:val="0"/>
                <w:sz w:val="18"/>
              </w:rPr>
              <w:t>見える化整合済</w:t>
            </w:r>
          </w:p>
        </w:tc>
        <w:tc>
          <w:tcPr>
            <w:tcW w:type="dxa" w:w="3402"/>
          </w:tcPr>
          <w:p>
            <w:pPr>
              <w:spacing w:after="20" w:before="20"/>
            </w:pPr>
            <w:r/>
            <w:r>
              <w:rPr>
                <w:rFonts w:ascii="游ゴシック" w:hAnsi="游ゴシック" w:eastAsia="游ゴシック"/>
                <w:b w:val="0"/>
                <w:sz w:val="18"/>
              </w:rPr>
              <w:t>第10期平均6,238円、長期5時点を含む公表値6点と差額0円。第9期は2年で月額385円の剰余</w:t>
            </w:r>
          </w:p>
        </w:tc>
        <w:tc>
          <w:tcPr>
            <w:tcW w:type="dxa" w:w="2608"/>
          </w:tcPr>
          <w:p>
            <w:pPr>
              <w:spacing w:after="20" w:before="20"/>
            </w:pPr>
            <w:r/>
            <w:r>
              <w:rPr>
                <w:rFonts w:ascii="游ゴシック" w:hAnsi="游ゴシック" w:eastAsia="游ゴシック"/>
                <w:b w:val="0"/>
                <w:sz w:val="18"/>
              </w:rPr>
              <w:t>基金・制度・需給条件別に再試算</w:t>
            </w:r>
          </w:p>
        </w:tc>
      </w:tr>
      <w:tr>
        <w:tc>
          <w:tcPr>
            <w:tcW w:type="dxa" w:w="1701"/>
          </w:tcPr>
          <w:p>
            <w:pPr>
              <w:spacing w:after="20" w:before="20"/>
            </w:pPr>
            <w:r/>
            <w:r>
              <w:rPr>
                <w:rFonts w:ascii="游ゴシック" w:hAnsi="游ゴシック" w:eastAsia="游ゴシック"/>
                <w:b w:val="0"/>
                <w:sz w:val="18"/>
              </w:rPr>
              <w:t>長期見通し</w:t>
            </w:r>
          </w:p>
        </w:tc>
        <w:tc>
          <w:tcPr>
            <w:tcW w:type="dxa" w:w="2041"/>
          </w:tcPr>
          <w:p>
            <w:pPr>
              <w:spacing w:after="20" w:before="20"/>
            </w:pPr>
            <w:r/>
            <w:r>
              <w:rPr>
                <w:rFonts w:ascii="游ゴシック" w:hAnsi="游ゴシック" w:eastAsia="游ゴシック"/>
                <w:b w:val="0"/>
                <w:sz w:val="18"/>
              </w:rPr>
              <w:t>令和32年度まで確認済</w:t>
            </w:r>
          </w:p>
        </w:tc>
        <w:tc>
          <w:tcPr>
            <w:tcW w:type="dxa" w:w="3402"/>
          </w:tcPr>
          <w:p>
            <w:pPr>
              <w:spacing w:after="20" w:before="20"/>
            </w:pPr>
            <w:r/>
            <w:r>
              <w:rPr>
                <w:rFonts w:ascii="游ゴシック" w:hAnsi="游ゴシック" w:eastAsia="游ゴシック"/>
                <w:b w:val="0"/>
                <w:sz w:val="18"/>
              </w:rPr>
              <w:t>85歳以上は令和22年度に令和7年比29.7％増。15〜64歳は23.9％減</w:t>
            </w:r>
          </w:p>
        </w:tc>
        <w:tc>
          <w:tcPr>
            <w:tcW w:type="dxa" w:w="2608"/>
          </w:tcPr>
          <w:p>
            <w:pPr>
              <w:spacing w:after="20" w:before="20"/>
            </w:pPr>
            <w:r/>
            <w:r>
              <w:rPr>
                <w:rFonts w:ascii="游ゴシック" w:hAnsi="游ゴシック" w:eastAsia="游ゴシック"/>
                <w:b w:val="0"/>
                <w:sz w:val="18"/>
              </w:rPr>
              <w:t>サービス提供体制・人材の時間軸を具体化</w:t>
            </w:r>
          </w:p>
        </w:tc>
      </w:tr>
      <w:tr>
        <w:tc>
          <w:tcPr>
            <w:tcW w:type="dxa" w:w="1701"/>
          </w:tcPr>
          <w:p>
            <w:pPr>
              <w:spacing w:after="20" w:before="20"/>
            </w:pPr>
            <w:r/>
            <w:r>
              <w:rPr>
                <w:rFonts w:ascii="游ゴシック" w:hAnsi="游ゴシック" w:eastAsia="游ゴシック"/>
                <w:b w:val="0"/>
                <w:sz w:val="18"/>
              </w:rPr>
              <w:t>健康とくらしの調査</w:t>
            </w:r>
          </w:p>
        </w:tc>
        <w:tc>
          <w:tcPr>
            <w:tcW w:type="dxa" w:w="2041"/>
          </w:tcPr>
          <w:p>
            <w:pPr>
              <w:spacing w:after="20" w:before="20"/>
            </w:pPr>
            <w:r/>
            <w:r>
              <w:rPr>
                <w:rFonts w:ascii="游ゴシック" w:hAnsi="游ゴシック" w:eastAsia="游ゴシック"/>
                <w:b w:val="0"/>
                <w:sz w:val="18"/>
              </w:rPr>
              <w:t>分析完了</w:t>
            </w:r>
          </w:p>
        </w:tc>
        <w:tc>
          <w:tcPr>
            <w:tcW w:type="dxa" w:w="3402"/>
          </w:tcPr>
          <w:p>
            <w:pPr>
              <w:spacing w:after="20" w:before="20"/>
            </w:pPr>
            <w:r/>
            <w:r>
              <w:rPr>
                <w:rFonts w:ascii="游ゴシック" w:hAnsi="游ゴシック" w:eastAsia="游ゴシック"/>
                <w:b w:val="0"/>
                <w:sz w:val="18"/>
              </w:rPr>
              <w:t>個票4,729票。小学校区12地区別、同規模保険者40との比較</w:t>
            </w:r>
          </w:p>
        </w:tc>
        <w:tc>
          <w:tcPr>
            <w:tcW w:type="dxa" w:w="2608"/>
          </w:tcPr>
          <w:p>
            <w:pPr>
              <w:spacing w:after="20" w:before="20"/>
            </w:pPr>
            <w:r/>
            <w:r>
              <w:rPr>
                <w:rFonts w:ascii="游ゴシック" w:hAnsi="游ゴシック" w:eastAsia="游ゴシック"/>
                <w:b w:val="0"/>
                <w:sz w:val="18"/>
              </w:rPr>
              <w:t>計画本文への反映、掲載範囲の確認</w:t>
            </w:r>
          </w:p>
        </w:tc>
      </w:tr>
      <w:tr>
        <w:tc>
          <w:tcPr>
            <w:tcW w:type="dxa" w:w="1701"/>
          </w:tcPr>
          <w:p>
            <w:pPr>
              <w:spacing w:after="20" w:before="20"/>
            </w:pPr>
            <w:r/>
            <w:r>
              <w:rPr>
                <w:rFonts w:ascii="游ゴシック" w:hAnsi="游ゴシック" w:eastAsia="游ゴシック"/>
                <w:b w:val="0"/>
                <w:sz w:val="18"/>
              </w:rPr>
              <w:t>施設・住まいの供給量</w:t>
            </w:r>
          </w:p>
        </w:tc>
        <w:tc>
          <w:tcPr>
            <w:tcW w:type="dxa" w:w="2041"/>
          </w:tcPr>
          <w:p>
            <w:pPr>
              <w:spacing w:after="20" w:before="20"/>
            </w:pPr>
            <w:r/>
            <w:r>
              <w:rPr>
                <w:rFonts w:ascii="游ゴシック" w:hAnsi="游ゴシック" w:eastAsia="游ゴシック"/>
                <w:b w:val="0"/>
                <w:sz w:val="18"/>
              </w:rPr>
              <w:t>北海道の名簿8種と突合済</w:t>
            </w:r>
          </w:p>
        </w:tc>
        <w:tc>
          <w:tcPr>
            <w:tcW w:type="dxa" w:w="3402"/>
          </w:tcPr>
          <w:p>
            <w:pPr>
              <w:spacing w:after="20" w:before="20"/>
            </w:pPr>
            <w:r/>
            <w:r>
              <w:rPr>
                <w:rFonts w:ascii="游ゴシック" w:hAnsi="游ゴシック" w:eastAsia="游ゴシック"/>
                <w:b w:val="0"/>
                <w:sz w:val="18"/>
              </w:rPr>
              <w:t>特定施設156人（調査は58人）、住宅型有料9施設223人（調査は3施設91人）、特養160人＋地域密着型62人（調査は152人）</w:t>
            </w:r>
          </w:p>
        </w:tc>
        <w:tc>
          <w:tcPr>
            <w:tcW w:type="dxa" w:w="2608"/>
          </w:tcPr>
          <w:p>
            <w:pPr>
              <w:spacing w:after="20" w:before="20"/>
            </w:pPr>
            <w:r/>
            <w:r>
              <w:rPr>
                <w:rFonts w:ascii="游ゴシック" w:hAnsi="游ゴシック" w:eastAsia="游ゴシック"/>
                <w:b w:val="0"/>
                <w:sz w:val="18"/>
              </w:rPr>
              <w:t>第2章第3節の数値の差し替え、入居者数の照会の要否</w:t>
            </w:r>
          </w:p>
        </w:tc>
      </w:tr>
      <w:tr>
        <w:tc>
          <w:tcPr>
            <w:tcW w:type="dxa" w:w="1701"/>
          </w:tcPr>
          <w:p>
            <w:pPr>
              <w:spacing w:after="20" w:before="20"/>
            </w:pPr>
            <w:r/>
            <w:r>
              <w:rPr>
                <w:rFonts w:ascii="游ゴシック" w:hAnsi="游ゴシック" w:eastAsia="游ゴシック"/>
                <w:b w:val="0"/>
                <w:sz w:val="18"/>
              </w:rPr>
              <w:t>工程・会議資料</w:t>
            </w:r>
          </w:p>
        </w:tc>
        <w:tc>
          <w:tcPr>
            <w:tcW w:type="dxa" w:w="2041"/>
          </w:tcPr>
          <w:p>
            <w:pPr>
              <w:spacing w:after="20" w:before="20"/>
            </w:pPr>
            <w:r/>
            <w:r>
              <w:rPr>
                <w:rFonts w:ascii="游ゴシック" w:hAnsi="游ゴシック" w:eastAsia="游ゴシック"/>
                <w:b w:val="0"/>
                <w:sz w:val="18"/>
              </w:rPr>
              <w:t>第1回委員会資料・キックオフ資料第6稿を作成</w:t>
            </w:r>
          </w:p>
        </w:tc>
        <w:tc>
          <w:tcPr>
            <w:tcW w:type="dxa" w:w="3402"/>
          </w:tcPr>
          <w:p>
            <w:pPr>
              <w:spacing w:after="20" w:before="20"/>
            </w:pPr>
            <w:r/>
            <w:r>
              <w:rPr>
                <w:rFonts w:ascii="游ゴシック" w:hAnsi="游ゴシック" w:eastAsia="游ゴシック"/>
                <w:b w:val="0"/>
                <w:sz w:val="18"/>
              </w:rPr>
              <w:t>8月～3月の成果・判断時期を整理</w:t>
            </w:r>
          </w:p>
        </w:tc>
        <w:tc>
          <w:tcPr>
            <w:tcW w:type="dxa" w:w="2608"/>
          </w:tcPr>
          <w:p>
            <w:pPr>
              <w:spacing w:after="20" w:before="20"/>
            </w:pPr>
            <w:r/>
            <w:r>
              <w:rPr>
                <w:rFonts w:ascii="游ゴシック" w:hAnsi="游ゴシック" w:eastAsia="游ゴシック"/>
                <w:b w:val="0"/>
                <w:sz w:val="18"/>
              </w:rPr>
              <w:t>会議日程、提出期限、確定権限を反映</w:t>
            </w:r>
          </w:p>
        </w:tc>
      </w:tr>
    </w:tbl>
    <w:p>
      <w:pPr>
        <w:spacing w:after="80"/>
      </w:pPr>
    </w:p>
    <w:p>
      <w:pPr>
        <w:spacing w:before="240" w:after="100"/>
      </w:pPr>
      <w:r>
        <w:rPr>
          <w:rFonts w:ascii="游ゴシック" w:hAnsi="游ゴシック" w:eastAsia="游ゴシック"/>
          <w:b/>
          <w:color w:val="1F3864"/>
          <w:sz w:val="22"/>
        </w:rPr>
        <w:t>優先して受領する資料</w:t>
      </w:r>
    </w:p>
    <w:tbl>
      <w:tblPr>
        <w:tblStyle w:val="TableGrid"/>
        <w:tblW w:type="auto" w:w="0"/>
        <w:jc w:val="center"/>
        <w:tblLook w:firstColumn="1" w:firstRow="1" w:lastColumn="0" w:lastRow="0" w:noHBand="0" w:noVBand="1" w:val="04A0"/>
      </w:tblPr>
      <w:tblGrid>
        <w:gridCol w:w="3251"/>
        <w:gridCol w:w="3251"/>
        <w:gridCol w:w="3251"/>
      </w:tblGrid>
      <w:tr>
        <w:tc>
          <w:tcPr>
            <w:tcW w:type="dxa" w:w="1474"/>
            <w:shd w:val="clear" w:fill="1F3864"/>
          </w:tcPr>
          <w:p>
            <w:pPr>
              <w:spacing w:after="20" w:before="20"/>
            </w:pPr>
            <w:r/>
            <w:r>
              <w:rPr>
                <w:rFonts w:ascii="游ゴシック" w:hAnsi="游ゴシック" w:eastAsia="游ゴシック"/>
                <w:b/>
                <w:color w:val="FFFFFF"/>
                <w:sz w:val="18"/>
              </w:rPr>
              <w:t>区分</w:t>
            </w:r>
          </w:p>
        </w:tc>
        <w:tc>
          <w:tcPr>
            <w:tcW w:type="dxa" w:w="6463"/>
            <w:shd w:val="clear" w:fill="1F3864"/>
          </w:tcPr>
          <w:p>
            <w:pPr>
              <w:spacing w:after="20" w:before="20"/>
            </w:pPr>
            <w:r/>
            <w:r>
              <w:rPr>
                <w:rFonts w:ascii="游ゴシック" w:hAnsi="游ゴシック" w:eastAsia="游ゴシック"/>
                <w:b/>
                <w:color w:val="FFFFFF"/>
                <w:sz w:val="18"/>
              </w:rPr>
              <w:t>次に必要な資料・判断</w:t>
            </w:r>
          </w:p>
        </w:tc>
        <w:tc>
          <w:tcPr>
            <w:tcW w:type="dxa" w:w="1814"/>
            <w:shd w:val="clear" w:fill="1F3864"/>
          </w:tcPr>
          <w:p>
            <w:pPr>
              <w:spacing w:after="20" w:before="20"/>
            </w:pPr>
            <w:r/>
            <w:r>
              <w:rPr>
                <w:rFonts w:ascii="游ゴシック" w:hAnsi="游ゴシック" w:eastAsia="游ゴシック"/>
                <w:b/>
                <w:color w:val="FFFFFF"/>
                <w:sz w:val="18"/>
              </w:rPr>
              <w:t>優先度</w:t>
            </w:r>
          </w:p>
        </w:tc>
      </w:tr>
      <w:tr>
        <w:tc>
          <w:tcPr>
            <w:tcW w:type="dxa" w:w="1474"/>
          </w:tcPr>
          <w:p>
            <w:pPr>
              <w:spacing w:after="20" w:before="20"/>
            </w:pPr>
            <w:r/>
            <w:r>
              <w:rPr>
                <w:rFonts w:ascii="游ゴシック" w:hAnsi="游ゴシック" w:eastAsia="游ゴシック"/>
                <w:b w:val="0"/>
                <w:sz w:val="18"/>
              </w:rPr>
              <w:t>第9期実績</w:t>
            </w:r>
          </w:p>
        </w:tc>
        <w:tc>
          <w:tcPr>
            <w:tcW w:type="dxa" w:w="6463"/>
          </w:tcPr>
          <w:p>
            <w:pPr>
              <w:spacing w:after="20" w:before="20"/>
            </w:pPr>
            <w:r/>
            <w:r>
              <w:rPr>
                <w:rFonts w:ascii="游ゴシック" w:hAnsi="游ゴシック" w:eastAsia="游ゴシック"/>
                <w:b w:val="0"/>
                <w:sz w:val="18"/>
              </w:rPr>
              <w:t>令和6～8年度のKPI、施策・事業、基盤整備、進捗・決算資料</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3調査</w:t>
            </w:r>
          </w:p>
        </w:tc>
        <w:tc>
          <w:tcPr>
            <w:tcW w:type="dxa" w:w="6463"/>
          </w:tcPr>
          <w:p>
            <w:pPr>
              <w:spacing w:after="20" w:before="20"/>
            </w:pPr>
            <w:r/>
            <w:r>
              <w:rPr>
                <w:rFonts w:ascii="游ゴシック" w:hAnsi="游ゴシック" w:eastAsia="游ゴシック"/>
                <w:b w:val="0"/>
                <w:sz w:val="18"/>
              </w:rPr>
              <w:t>点検事項32件の取扱い。特に重大5件（職員数の二重計上、利用者票の回答の偏り、所在地区の集計の可否、老健・通所リハの介護職員数と見える化の乖離）</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認定</w:t>
            </w:r>
          </w:p>
        </w:tc>
        <w:tc>
          <w:tcPr>
            <w:tcW w:type="dxa" w:w="6463"/>
          </w:tcPr>
          <w:p>
            <w:pPr>
              <w:spacing w:after="20" w:before="20"/>
            </w:pPr>
            <w:r/>
            <w:r>
              <w:rPr>
                <w:rFonts w:ascii="游ゴシック" w:hAnsi="游ゴシック" w:eastAsia="游ゴシック"/>
                <w:b w:val="0"/>
                <w:sz w:val="18"/>
              </w:rPr>
              <w:t>サービス種別・要介護度別の受給者数。要介護度別認定者数は見える化B3系列で受領済み（令和8年8月4日）</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施設・住まい</w:t>
            </w:r>
          </w:p>
        </w:tc>
        <w:tc>
          <w:tcPr>
            <w:tcW w:type="dxa" w:w="6463"/>
          </w:tcPr>
          <w:p>
            <w:pPr>
              <w:spacing w:after="20" w:before="20"/>
            </w:pPr>
            <w:r/>
            <w:r>
              <w:rPr>
                <w:rFonts w:ascii="游ゴシック" w:hAnsi="游ゴシック" w:eastAsia="游ゴシック"/>
                <w:b w:val="0"/>
                <w:sz w:val="18"/>
              </w:rPr>
              <w:t>指定事業所台帳（グループホームくるみの郷の定員と休止の有無。地域密着型サービスであり指定権者は広域連合）。施設・居住系の入所者数・空床・休止床</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人口</w:t>
            </w:r>
          </w:p>
        </w:tc>
        <w:tc>
          <w:tcPr>
            <w:tcW w:type="dxa" w:w="6463"/>
          </w:tcPr>
          <w:p>
            <w:pPr>
              <w:spacing w:after="20" w:before="20"/>
            </w:pPr>
            <w:r/>
            <w:r>
              <w:rPr>
                <w:rFonts w:ascii="游ゴシック" w:hAnsi="游ゴシック" w:eastAsia="游ゴシック"/>
                <w:b w:val="0"/>
                <w:sz w:val="18"/>
              </w:rPr>
              <w:t>令和6年・令和7年の町別住民基本台帳人口（年齢4区分別）</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認定・給付</w:t>
            </w:r>
          </w:p>
        </w:tc>
        <w:tc>
          <w:tcPr>
            <w:tcW w:type="dxa" w:w="6463"/>
          </w:tcPr>
          <w:p>
            <w:pPr>
              <w:spacing w:after="20" w:before="20"/>
            </w:pPr>
            <w:r/>
            <w:r>
              <w:rPr>
                <w:rFonts w:ascii="游ゴシック" w:hAnsi="游ゴシック" w:eastAsia="游ゴシック"/>
                <w:b w:val="0"/>
                <w:sz w:val="18"/>
              </w:rPr>
              <w:t>サービス種別・要介護度別の利用率、受給者数、給付費単価</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財政・保険料</w:t>
            </w:r>
          </w:p>
        </w:tc>
        <w:tc>
          <w:tcPr>
            <w:tcW w:type="dxa" w:w="6463"/>
          </w:tcPr>
          <w:p>
            <w:pPr>
              <w:spacing w:after="20" w:before="20"/>
            </w:pPr>
            <w:r/>
            <w:r>
              <w:rPr>
                <w:rFonts w:ascii="游ゴシック" w:hAnsi="游ゴシック" w:eastAsia="游ゴシック"/>
                <w:b w:val="0"/>
                <w:sz w:val="18"/>
              </w:rPr>
              <w:t>基金残高・取崩方針、収納率、所得段階、地域支援事業費、予算前提</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3町計画</w:t>
            </w:r>
          </w:p>
        </w:tc>
        <w:tc>
          <w:tcPr>
            <w:tcW w:type="dxa" w:w="6463"/>
          </w:tcPr>
          <w:p>
            <w:pPr>
              <w:spacing w:after="20" w:before="20"/>
            </w:pPr>
            <w:r/>
            <w:r>
              <w:rPr>
                <w:rFonts w:ascii="游ゴシック" w:hAnsi="游ゴシック" w:eastAsia="游ゴシック"/>
                <w:b w:val="0"/>
                <w:sz w:val="18"/>
              </w:rPr>
              <w:t>現行計画の進捗、第10期重点、町別施策・会議工程、役割分担</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会議・広報</w:t>
            </w:r>
          </w:p>
        </w:tc>
        <w:tc>
          <w:tcPr>
            <w:tcW w:type="dxa" w:w="6463"/>
          </w:tcPr>
          <w:p>
            <w:pPr>
              <w:spacing w:after="20" w:before="20"/>
            </w:pPr>
            <w:r/>
            <w:r>
              <w:rPr>
                <w:rFonts w:ascii="游ゴシック" w:hAnsi="游ゴシック" w:eastAsia="游ゴシック"/>
                <w:b w:val="0"/>
                <w:sz w:val="18"/>
              </w:rPr>
              <w:t>委員会日程・審議事項、パブコメ期間、公開単位・少数値基準</w:t>
            </w:r>
          </w:p>
        </w:tc>
        <w:tc>
          <w:tcPr>
            <w:tcW w:type="dxa" w:w="1814"/>
          </w:tcPr>
          <w:p>
            <w:pPr>
              <w:spacing w:after="20" w:before="20"/>
            </w:pPr>
            <w:r/>
            <w:r>
              <w:rPr>
                <w:rFonts w:ascii="游ゴシック" w:hAnsi="游ゴシック" w:eastAsia="游ゴシック"/>
                <w:b w:val="0"/>
                <w:sz w:val="18"/>
              </w:rPr>
              <w:t>中</w:t>
            </w:r>
          </w:p>
        </w:tc>
      </w:tr>
    </w:tbl>
    <w:p>
      <w:pPr>
        <w:spacing w:after="80"/>
      </w:pPr>
    </w:p>
    <w:p>
      <w:pPr>
        <w:spacing w:after="120" w:before="0" w:line="276" w:lineRule="auto"/>
      </w:pPr>
      <w:r>
        <w:rPr>
          <w:rFonts w:ascii="游ゴシック" w:hAnsi="游ゴシック" w:eastAsia="游ゴシック"/>
          <w:b w:val="0"/>
          <w:sz w:val="19"/>
        </w:rPr>
        <w:t>※ 資料の受領状況及び確認事項は、別冊「必要事項の一覧」（8シート）に集約しています。現時点で、資料の提供15件、方針の決定19件、日程・体制6件、成果品の仕様7件、国・道の告示待ち5件、受託者の作業8件です。</w:t>
      </w:r>
    </w:p>
    <w:p>
      <w:pPr>
        <w:spacing w:before="240" w:after="100"/>
      </w:pPr>
      <w:r>
        <w:rPr>
          <w:rFonts w:ascii="游ゴシック" w:hAnsi="游ゴシック" w:eastAsia="游ゴシック"/>
          <w:b/>
          <w:color w:val="1F3864"/>
          <w:sz w:val="26"/>
        </w:rPr>
        <w:t>12. キックオフ会議での確認事項</w:t>
      </w:r>
    </w:p>
    <w:p>
      <w:pPr>
        <w:spacing w:after="120" w:before="0" w:line="276" w:lineRule="auto"/>
      </w:pPr>
      <w:r>
        <w:rPr>
          <w:rFonts w:ascii="游ゴシック" w:hAnsi="游ゴシック" w:eastAsia="游ゴシック"/>
          <w:b w:val="0"/>
          <w:sz w:val="21"/>
        </w:rPr>
        <w:t>ご確認・ご決定いただきたい事項は、別冊「キックオフ会議ヒアリングシート」（14項目）に整理しました。1項目1枠で、確認内容・選択肢・記入欄・決まらない場合の影響を構成しています。会議中にご記入いただき、そのまま記録として残る形式です。</w:t>
      </w:r>
    </w:p>
    <w:tbl>
      <w:tblPr>
        <w:tblStyle w:val="TableGrid"/>
        <w:tblW w:type="auto" w:w="0"/>
        <w:jc w:val="center"/>
        <w:tblLook w:firstColumn="1" w:firstRow="1" w:lastColumn="0" w:lastRow="0" w:noHBand="0" w:noVBand="1" w:val="04A0"/>
      </w:tblPr>
      <w:tblGrid>
        <w:gridCol w:w="3251"/>
        <w:gridCol w:w="3251"/>
        <w:gridCol w:w="3251"/>
      </w:tblGrid>
      <w:tr>
        <w:tc>
          <w:tcPr>
            <w:tcW w:type="dxa" w:w="680"/>
            <w:shd w:val="clear" w:fill="1F3864"/>
          </w:tcPr>
          <w:p>
            <w:pPr>
              <w:spacing w:after="20" w:before="20"/>
            </w:pPr>
            <w:r/>
            <w:r>
              <w:rPr>
                <w:rFonts w:ascii="游ゴシック" w:hAnsi="游ゴシック" w:eastAsia="游ゴシック"/>
                <w:b/>
                <w:color w:val="FFFFFF"/>
                <w:sz w:val="18"/>
              </w:rPr>
              <w:t>No.</w:t>
            </w:r>
          </w:p>
        </w:tc>
        <w:tc>
          <w:tcPr>
            <w:tcW w:type="dxa" w:w="7030"/>
            <w:shd w:val="clear" w:fill="1F3864"/>
          </w:tcPr>
          <w:p>
            <w:pPr>
              <w:spacing w:after="20" w:before="20"/>
            </w:pPr>
            <w:r/>
            <w:r>
              <w:rPr>
                <w:rFonts w:ascii="游ゴシック" w:hAnsi="游ゴシック" w:eastAsia="游ゴシック"/>
                <w:b/>
                <w:color w:val="FFFFFF"/>
                <w:sz w:val="18"/>
              </w:rPr>
              <w:t>確認事項</w:t>
            </w:r>
          </w:p>
        </w:tc>
        <w:tc>
          <w:tcPr>
            <w:tcW w:type="dxa" w:w="2041"/>
            <w:shd w:val="clear" w:fill="1F3864"/>
          </w:tcPr>
          <w:p>
            <w:pPr>
              <w:spacing w:after="20" w:before="20"/>
            </w:pPr>
            <w:r/>
            <w:r>
              <w:rPr>
                <w:rFonts w:ascii="游ゴシック" w:hAnsi="游ゴシック" w:eastAsia="游ゴシック"/>
                <w:b/>
                <w:color w:val="FFFFFF"/>
                <w:sz w:val="18"/>
              </w:rPr>
              <w:t>区分</w:t>
            </w:r>
          </w:p>
        </w:tc>
      </w:tr>
      <w:tr>
        <w:tc>
          <w:tcPr>
            <w:tcW w:type="dxa" w:w="680"/>
          </w:tcPr>
          <w:p>
            <w:pPr>
              <w:spacing w:after="20" w:before="20"/>
            </w:pPr>
            <w:r/>
            <w:r>
              <w:rPr>
                <w:rFonts w:ascii="游ゴシック" w:hAnsi="游ゴシック" w:eastAsia="游ゴシック"/>
                <w:b w:val="0"/>
                <w:sz w:val="18"/>
              </w:rPr>
              <w:t>1</w:t>
            </w:r>
          </w:p>
        </w:tc>
        <w:tc>
          <w:tcPr>
            <w:tcW w:type="dxa" w:w="7030"/>
          </w:tcPr>
          <w:p>
            <w:pPr>
              <w:spacing w:after="20" w:before="20"/>
            </w:pPr>
            <w:r/>
            <w:r>
              <w:rPr>
                <w:rFonts w:ascii="游ゴシック" w:hAnsi="游ゴシック" w:eastAsia="游ゴシック"/>
                <w:b w:val="0"/>
                <w:sz w:val="18"/>
              </w:rPr>
              <w:t>事業所を対象とする調査の実施の予定と、受託者の関与の範囲（仕様書４（3）の対象外）</w:t>
            </w:r>
          </w:p>
        </w:tc>
        <w:tc>
          <w:tcPr>
            <w:tcW w:type="dxa" w:w="2041"/>
          </w:tcPr>
          <w:p>
            <w:pPr>
              <w:spacing w:after="20" w:before="20"/>
            </w:pPr>
            <w:r/>
            <w:r>
              <w:rPr>
                <w:rFonts w:ascii="游ゴシック" w:hAnsi="游ゴシック" w:eastAsia="游ゴシック"/>
                <w:b w:val="0"/>
                <w:sz w:val="18"/>
              </w:rPr>
              <w:t>業務範囲</w:t>
            </w:r>
          </w:p>
        </w:tc>
      </w:tr>
      <w:tr>
        <w:tc>
          <w:tcPr>
            <w:tcW w:type="dxa" w:w="680"/>
          </w:tcPr>
          <w:p>
            <w:pPr>
              <w:spacing w:after="20" w:before="20"/>
            </w:pPr>
            <w:r/>
            <w:r>
              <w:rPr>
                <w:rFonts w:ascii="游ゴシック" w:hAnsi="游ゴシック" w:eastAsia="游ゴシック"/>
                <w:b w:val="0"/>
                <w:sz w:val="18"/>
              </w:rPr>
              <w:t>2</w:t>
            </w:r>
          </w:p>
        </w:tc>
        <w:tc>
          <w:tcPr>
            <w:tcW w:type="dxa" w:w="7030"/>
          </w:tcPr>
          <w:p>
            <w:pPr>
              <w:spacing w:after="20" w:before="20"/>
            </w:pPr>
            <w:r/>
            <w:r>
              <w:rPr>
                <w:rFonts w:ascii="游ゴシック" w:hAnsi="游ゴシック" w:eastAsia="游ゴシック"/>
                <w:b w:val="0"/>
                <w:sz w:val="18"/>
              </w:rPr>
              <w:t>介護保険事業計画策定委員会の開催日程・審議事項・資料提出期限</w:t>
            </w:r>
          </w:p>
        </w:tc>
        <w:tc>
          <w:tcPr>
            <w:tcW w:type="dxa" w:w="2041"/>
          </w:tcPr>
          <w:p>
            <w:pPr>
              <w:spacing w:after="20" w:before="20"/>
            </w:pPr>
            <w:r/>
            <w:r>
              <w:rPr>
                <w:rFonts w:ascii="游ゴシック" w:hAnsi="游ゴシック" w:eastAsia="游ゴシック"/>
                <w:b w:val="0"/>
                <w:sz w:val="18"/>
              </w:rPr>
              <w:t>日程</w:t>
            </w:r>
          </w:p>
        </w:tc>
      </w:tr>
      <w:tr>
        <w:tc>
          <w:tcPr>
            <w:tcW w:type="dxa" w:w="680"/>
          </w:tcPr>
          <w:p>
            <w:pPr>
              <w:spacing w:after="20" w:before="20"/>
            </w:pPr>
            <w:r/>
            <w:r>
              <w:rPr>
                <w:rFonts w:ascii="游ゴシック" w:hAnsi="游ゴシック" w:eastAsia="游ゴシック"/>
                <w:b w:val="0"/>
                <w:sz w:val="18"/>
              </w:rPr>
              <w:t>3</w:t>
            </w:r>
          </w:p>
        </w:tc>
        <w:tc>
          <w:tcPr>
            <w:tcW w:type="dxa" w:w="7030"/>
          </w:tcPr>
          <w:p>
            <w:pPr>
              <w:spacing w:after="20" w:before="20"/>
            </w:pPr>
            <w:r/>
            <w:r>
              <w:rPr>
                <w:rFonts w:ascii="游ゴシック" w:hAnsi="游ゴシック" w:eastAsia="游ゴシック"/>
                <w:b w:val="0"/>
                <w:sz w:val="18"/>
              </w:rPr>
              <w:t>令和6〜8年度の施策・事業実績の提供時期</w:t>
            </w:r>
          </w:p>
        </w:tc>
        <w:tc>
          <w:tcPr>
            <w:tcW w:type="dxa" w:w="2041"/>
          </w:tcPr>
          <w:p>
            <w:pPr>
              <w:spacing w:after="20" w:before="20"/>
            </w:pPr>
            <w:r/>
            <w:r>
              <w:rPr>
                <w:rFonts w:ascii="游ゴシック" w:hAnsi="游ゴシック" w:eastAsia="游ゴシック"/>
                <w:b w:val="0"/>
                <w:sz w:val="18"/>
              </w:rPr>
              <w:t>資料</w:t>
            </w:r>
          </w:p>
        </w:tc>
      </w:tr>
      <w:tr>
        <w:tc>
          <w:tcPr>
            <w:tcW w:type="dxa" w:w="680"/>
          </w:tcPr>
          <w:p>
            <w:pPr>
              <w:spacing w:after="20" w:before="20"/>
            </w:pPr>
            <w:r/>
            <w:r>
              <w:rPr>
                <w:rFonts w:ascii="游ゴシック" w:hAnsi="游ゴシック" w:eastAsia="游ゴシック"/>
                <w:b w:val="0"/>
                <w:sz w:val="18"/>
              </w:rPr>
              <w:t>4</w:t>
            </w:r>
          </w:p>
        </w:tc>
        <w:tc>
          <w:tcPr>
            <w:tcW w:type="dxa" w:w="7030"/>
          </w:tcPr>
          <w:p>
            <w:pPr>
              <w:spacing w:after="20" w:before="20"/>
            </w:pPr>
            <w:r/>
            <w:r>
              <w:rPr>
                <w:rFonts w:ascii="游ゴシック" w:hAnsi="游ゴシック" w:eastAsia="游ゴシック"/>
                <w:b w:val="0"/>
                <w:sz w:val="18"/>
              </w:rPr>
              <w:t>3調査の点検事項の取扱いと事業所への照会の要否</w:t>
            </w:r>
          </w:p>
        </w:tc>
        <w:tc>
          <w:tcPr>
            <w:tcW w:type="dxa" w:w="2041"/>
          </w:tcPr>
          <w:p>
            <w:pPr>
              <w:spacing w:after="20" w:before="20"/>
            </w:pPr>
            <w:r/>
            <w:r>
              <w:rPr>
                <w:rFonts w:ascii="游ゴシック" w:hAnsi="游ゴシック" w:eastAsia="游ゴシック"/>
                <w:b w:val="0"/>
                <w:sz w:val="18"/>
              </w:rPr>
              <w:t>調査データ</w:t>
            </w:r>
          </w:p>
        </w:tc>
      </w:tr>
      <w:tr>
        <w:tc>
          <w:tcPr>
            <w:tcW w:type="dxa" w:w="680"/>
          </w:tcPr>
          <w:p>
            <w:pPr>
              <w:spacing w:after="20" w:before="20"/>
            </w:pPr>
            <w:r/>
            <w:r>
              <w:rPr>
                <w:rFonts w:ascii="游ゴシック" w:hAnsi="游ゴシック" w:eastAsia="游ゴシック"/>
                <w:b w:val="0"/>
                <w:sz w:val="18"/>
              </w:rPr>
              <w:t>5</w:t>
            </w:r>
          </w:p>
        </w:tc>
        <w:tc>
          <w:tcPr>
            <w:tcW w:type="dxa" w:w="7030"/>
          </w:tcPr>
          <w:p>
            <w:pPr>
              <w:spacing w:after="20" w:before="20"/>
            </w:pPr>
            <w:r/>
            <w:r>
              <w:rPr>
                <w:rFonts w:ascii="游ゴシック" w:hAnsi="游ゴシック" w:eastAsia="游ゴシック"/>
                <w:b w:val="0"/>
                <w:sz w:val="18"/>
              </w:rPr>
              <w:t>居住系・施設の種別別受給者数と総合事業の実績（要介護度別認定者数・利用率・1人当たり利用日数は受領済）</w:t>
            </w:r>
          </w:p>
        </w:tc>
        <w:tc>
          <w:tcPr>
            <w:tcW w:type="dxa" w:w="2041"/>
          </w:tcPr>
          <w:p>
            <w:pPr>
              <w:spacing w:after="20" w:before="20"/>
            </w:pPr>
            <w:r/>
            <w:r>
              <w:rPr>
                <w:rFonts w:ascii="游ゴシック" w:hAnsi="游ゴシック" w:eastAsia="游ゴシック"/>
                <w:b w:val="0"/>
                <w:sz w:val="18"/>
              </w:rPr>
              <w:t>資料</w:t>
            </w:r>
          </w:p>
        </w:tc>
      </w:tr>
      <w:tr>
        <w:tc>
          <w:tcPr>
            <w:tcW w:type="dxa" w:w="680"/>
          </w:tcPr>
          <w:p>
            <w:pPr>
              <w:spacing w:after="20" w:before="20"/>
            </w:pPr>
            <w:r/>
            <w:r>
              <w:rPr>
                <w:rFonts w:ascii="游ゴシック" w:hAnsi="游ゴシック" w:eastAsia="游ゴシック"/>
                <w:b w:val="0"/>
                <w:sz w:val="18"/>
              </w:rPr>
              <w:t>6</w:t>
            </w:r>
          </w:p>
        </w:tc>
        <w:tc>
          <w:tcPr>
            <w:tcW w:type="dxa" w:w="7030"/>
          </w:tcPr>
          <w:p>
            <w:pPr>
              <w:spacing w:after="20" w:before="20"/>
            </w:pPr>
            <w:r/>
            <w:r>
              <w:rPr>
                <w:rFonts w:ascii="游ゴシック" w:hAnsi="游ゴシック" w:eastAsia="游ゴシック"/>
                <w:b w:val="0"/>
                <w:sz w:val="18"/>
              </w:rPr>
              <w:t>推計の前提（人口の基礎・認定率のシナリオ・利用率・1人当たり利用日数）の置き方</w:t>
            </w:r>
          </w:p>
        </w:tc>
        <w:tc>
          <w:tcPr>
            <w:tcW w:type="dxa" w:w="2041"/>
          </w:tcPr>
          <w:p>
            <w:pPr>
              <w:spacing w:after="20" w:before="20"/>
            </w:pPr>
            <w:r/>
            <w:r>
              <w:rPr>
                <w:rFonts w:ascii="游ゴシック" w:hAnsi="游ゴシック" w:eastAsia="游ゴシック"/>
                <w:b w:val="0"/>
                <w:sz w:val="18"/>
              </w:rPr>
              <w:t>意向確認</w:t>
            </w:r>
          </w:p>
        </w:tc>
      </w:tr>
      <w:tr>
        <w:tc>
          <w:tcPr>
            <w:tcW w:type="dxa" w:w="680"/>
          </w:tcPr>
          <w:p>
            <w:pPr>
              <w:spacing w:after="20" w:before="20"/>
            </w:pPr>
            <w:r/>
            <w:r>
              <w:rPr>
                <w:rFonts w:ascii="游ゴシック" w:hAnsi="游ゴシック" w:eastAsia="游ゴシック"/>
                <w:b w:val="0"/>
                <w:sz w:val="18"/>
              </w:rPr>
              <w:t>7</w:t>
            </w:r>
          </w:p>
        </w:tc>
        <w:tc>
          <w:tcPr>
            <w:tcW w:type="dxa" w:w="7030"/>
          </w:tcPr>
          <w:p>
            <w:pPr>
              <w:spacing w:after="20" w:before="20"/>
            </w:pPr>
            <w:r/>
            <w:r>
              <w:rPr>
                <w:rFonts w:ascii="游ゴシック" w:hAnsi="游ゴシック" w:eastAsia="游ゴシック"/>
                <w:b w:val="0"/>
                <w:sz w:val="18"/>
              </w:rPr>
              <w:t>介護サービス自給率（δ）の計画本文への掲載の可否</w:t>
            </w:r>
          </w:p>
        </w:tc>
        <w:tc>
          <w:tcPr>
            <w:tcW w:type="dxa" w:w="2041"/>
          </w:tcPr>
          <w:p>
            <w:pPr>
              <w:spacing w:after="20" w:before="20"/>
            </w:pPr>
            <w:r/>
            <w:r>
              <w:rPr>
                <w:rFonts w:ascii="游ゴシック" w:hAnsi="游ゴシック" w:eastAsia="游ゴシック"/>
                <w:b w:val="0"/>
                <w:sz w:val="18"/>
              </w:rPr>
              <w:t>決定</w:t>
            </w:r>
          </w:p>
        </w:tc>
      </w:tr>
      <w:tr>
        <w:tc>
          <w:tcPr>
            <w:tcW w:type="dxa" w:w="680"/>
          </w:tcPr>
          <w:p>
            <w:pPr>
              <w:spacing w:after="20" w:before="20"/>
            </w:pPr>
            <w:r/>
            <w:r>
              <w:rPr>
                <w:rFonts w:ascii="游ゴシック" w:hAnsi="游ゴシック" w:eastAsia="游ゴシック"/>
                <w:b w:val="0"/>
                <w:sz w:val="18"/>
              </w:rPr>
              <w:t>8</w:t>
            </w:r>
          </w:p>
        </w:tc>
        <w:tc>
          <w:tcPr>
            <w:tcW w:type="dxa" w:w="7030"/>
          </w:tcPr>
          <w:p>
            <w:pPr>
              <w:spacing w:after="20" w:before="20"/>
            </w:pPr>
            <w:r/>
            <w:r>
              <w:rPr>
                <w:rFonts w:ascii="游ゴシック" w:hAnsi="游ゴシック" w:eastAsia="游ゴシック"/>
                <w:b w:val="0"/>
                <w:sz w:val="18"/>
              </w:rPr>
              <w:t>代表KPIのデータ源と3町との役割分担</w:t>
            </w:r>
          </w:p>
        </w:tc>
        <w:tc>
          <w:tcPr>
            <w:tcW w:type="dxa" w:w="2041"/>
          </w:tcPr>
          <w:p>
            <w:pPr>
              <w:spacing w:after="20" w:before="20"/>
            </w:pPr>
            <w:r/>
            <w:r>
              <w:rPr>
                <w:rFonts w:ascii="游ゴシック" w:hAnsi="游ゴシック" w:eastAsia="游ゴシック"/>
                <w:b w:val="0"/>
                <w:sz w:val="18"/>
              </w:rPr>
              <w:t>決定</w:t>
            </w:r>
          </w:p>
        </w:tc>
      </w:tr>
      <w:tr>
        <w:tc>
          <w:tcPr>
            <w:tcW w:type="dxa" w:w="680"/>
          </w:tcPr>
          <w:p>
            <w:pPr>
              <w:spacing w:after="20" w:before="20"/>
            </w:pPr>
            <w:r/>
            <w:r>
              <w:rPr>
                <w:rFonts w:ascii="游ゴシック" w:hAnsi="游ゴシック" w:eastAsia="游ゴシック"/>
                <w:b w:val="0"/>
                <w:sz w:val="18"/>
              </w:rPr>
              <w:t>9</w:t>
            </w:r>
          </w:p>
        </w:tc>
        <w:tc>
          <w:tcPr>
            <w:tcW w:type="dxa" w:w="7030"/>
          </w:tcPr>
          <w:p>
            <w:pPr>
              <w:spacing w:after="20" w:before="20"/>
            </w:pPr>
            <w:r/>
            <w:r>
              <w:rPr>
                <w:rFonts w:ascii="游ゴシック" w:hAnsi="游ゴシック" w:eastAsia="游ゴシック"/>
                <w:b w:val="0"/>
                <w:sz w:val="18"/>
              </w:rPr>
              <w:t>健康とくらしの調査の集計単位と公表範囲</w:t>
            </w:r>
          </w:p>
        </w:tc>
        <w:tc>
          <w:tcPr>
            <w:tcW w:type="dxa" w:w="2041"/>
          </w:tcPr>
          <w:p>
            <w:pPr>
              <w:spacing w:after="20" w:before="20"/>
            </w:pPr>
            <w:r/>
            <w:r>
              <w:rPr>
                <w:rFonts w:ascii="游ゴシック" w:hAnsi="游ゴシック" w:eastAsia="游ゴシック"/>
                <w:b w:val="0"/>
                <w:sz w:val="18"/>
              </w:rPr>
              <w:t>調査データ</w:t>
            </w:r>
          </w:p>
        </w:tc>
      </w:tr>
      <w:tr>
        <w:tc>
          <w:tcPr>
            <w:tcW w:type="dxa" w:w="680"/>
          </w:tcPr>
          <w:p>
            <w:pPr>
              <w:spacing w:after="20" w:before="20"/>
            </w:pPr>
            <w:r/>
            <w:r>
              <w:rPr>
                <w:rFonts w:ascii="游ゴシック" w:hAnsi="游ゴシック" w:eastAsia="游ゴシック"/>
                <w:b w:val="0"/>
                <w:sz w:val="18"/>
              </w:rPr>
              <w:t>10</w:t>
            </w:r>
          </w:p>
        </w:tc>
        <w:tc>
          <w:tcPr>
            <w:tcW w:type="dxa" w:w="7030"/>
          </w:tcPr>
          <w:p>
            <w:pPr>
              <w:spacing w:after="20" w:before="20"/>
            </w:pPr>
            <w:r/>
            <w:r>
              <w:rPr>
                <w:rFonts w:ascii="游ゴシック" w:hAnsi="游ゴシック" w:eastAsia="游ゴシック"/>
                <w:b w:val="0"/>
                <w:sz w:val="18"/>
              </w:rPr>
              <w:t>個票データの納品物への収録範囲</w:t>
            </w:r>
          </w:p>
        </w:tc>
        <w:tc>
          <w:tcPr>
            <w:tcW w:type="dxa" w:w="2041"/>
          </w:tcPr>
          <w:p>
            <w:pPr>
              <w:spacing w:after="20" w:before="20"/>
            </w:pPr>
            <w:r/>
            <w:r>
              <w:rPr>
                <w:rFonts w:ascii="游ゴシック" w:hAnsi="游ゴシック" w:eastAsia="游ゴシック"/>
                <w:b w:val="0"/>
                <w:sz w:val="18"/>
              </w:rPr>
              <w:t>個人情報</w:t>
            </w:r>
          </w:p>
        </w:tc>
      </w:tr>
      <w:tr>
        <w:tc>
          <w:tcPr>
            <w:tcW w:type="dxa" w:w="680"/>
          </w:tcPr>
          <w:p>
            <w:pPr>
              <w:spacing w:after="20" w:before="20"/>
            </w:pPr>
            <w:r/>
            <w:r>
              <w:rPr>
                <w:rFonts w:ascii="游ゴシック" w:hAnsi="游ゴシック" w:eastAsia="游ゴシック"/>
                <w:b w:val="0"/>
                <w:sz w:val="18"/>
              </w:rPr>
              <w:t>11</w:t>
            </w:r>
          </w:p>
        </w:tc>
        <w:tc>
          <w:tcPr>
            <w:tcW w:type="dxa" w:w="7030"/>
          </w:tcPr>
          <w:p>
            <w:pPr>
              <w:spacing w:after="20" w:before="20"/>
            </w:pPr>
            <w:r/>
            <w:r>
              <w:rPr>
                <w:rFonts w:ascii="游ゴシック" w:hAnsi="游ゴシック" w:eastAsia="游ゴシック"/>
                <w:b w:val="0"/>
                <w:sz w:val="18"/>
              </w:rPr>
              <w:t>原稿レビューの方法</w:t>
            </w:r>
          </w:p>
        </w:tc>
        <w:tc>
          <w:tcPr>
            <w:tcW w:type="dxa" w:w="2041"/>
          </w:tcPr>
          <w:p>
            <w:pPr>
              <w:spacing w:after="20" w:before="20"/>
            </w:pPr>
            <w:r/>
            <w:r>
              <w:rPr>
                <w:rFonts w:ascii="游ゴシック" w:hAnsi="游ゴシック" w:eastAsia="游ゴシック"/>
                <w:b w:val="0"/>
                <w:sz w:val="18"/>
              </w:rPr>
              <w:t>運用</w:t>
            </w:r>
          </w:p>
        </w:tc>
      </w:tr>
      <w:tr>
        <w:tc>
          <w:tcPr>
            <w:tcW w:type="dxa" w:w="680"/>
          </w:tcPr>
          <w:p>
            <w:pPr>
              <w:spacing w:after="20" w:before="20"/>
            </w:pPr>
            <w:r/>
            <w:r>
              <w:rPr>
                <w:rFonts w:ascii="游ゴシック" w:hAnsi="游ゴシック" w:eastAsia="游ゴシック"/>
                <w:b w:val="0"/>
                <w:sz w:val="18"/>
              </w:rPr>
              <w:t>12</w:t>
            </w:r>
          </w:p>
        </w:tc>
        <w:tc>
          <w:tcPr>
            <w:tcW w:type="dxa" w:w="7030"/>
          </w:tcPr>
          <w:p>
            <w:pPr>
              <w:spacing w:after="20" w:before="20"/>
            </w:pPr>
            <w:r/>
            <w:r>
              <w:rPr>
                <w:rFonts w:ascii="游ゴシック" w:hAnsi="游ゴシック" w:eastAsia="游ゴシック"/>
                <w:b w:val="0"/>
                <w:sz w:val="18"/>
              </w:rPr>
              <w:t>計画書の頁数・図表の点数・レイアウト</w:t>
            </w:r>
          </w:p>
        </w:tc>
        <w:tc>
          <w:tcPr>
            <w:tcW w:type="dxa" w:w="2041"/>
          </w:tcPr>
          <w:p>
            <w:pPr>
              <w:spacing w:after="20" w:before="20"/>
            </w:pPr>
            <w:r/>
            <w:r>
              <w:rPr>
                <w:rFonts w:ascii="游ゴシック" w:hAnsi="游ゴシック" w:eastAsia="游ゴシック"/>
                <w:b w:val="0"/>
                <w:sz w:val="18"/>
              </w:rPr>
              <w:t>成果品</w:t>
            </w:r>
          </w:p>
        </w:tc>
      </w:tr>
      <w:tr>
        <w:tc>
          <w:tcPr>
            <w:tcW w:type="dxa" w:w="680"/>
          </w:tcPr>
          <w:p>
            <w:pPr>
              <w:spacing w:after="20" w:before="20"/>
            </w:pPr>
            <w:r/>
            <w:r>
              <w:rPr>
                <w:rFonts w:ascii="游ゴシック" w:hAnsi="游ゴシック" w:eastAsia="游ゴシック"/>
                <w:b w:val="0"/>
                <w:sz w:val="18"/>
              </w:rPr>
              <w:t>13</w:t>
            </w:r>
          </w:p>
        </w:tc>
        <w:tc>
          <w:tcPr>
            <w:tcW w:type="dxa" w:w="7030"/>
          </w:tcPr>
          <w:p>
            <w:pPr>
              <w:spacing w:after="20" w:before="20"/>
            </w:pPr>
            <w:r/>
            <w:r>
              <w:rPr>
                <w:rFonts w:ascii="游ゴシック" w:hAnsi="游ゴシック" w:eastAsia="游ゴシック"/>
                <w:b w:val="0"/>
                <w:sz w:val="18"/>
              </w:rPr>
              <w:t>実施済み3調査の点検事項の取扱い（重大5件）と事業所への照会</w:t>
            </w:r>
          </w:p>
        </w:tc>
        <w:tc>
          <w:tcPr>
            <w:tcW w:type="dxa" w:w="2041"/>
          </w:tcPr>
          <w:p>
            <w:pPr>
              <w:spacing w:after="20" w:before="20"/>
            </w:pPr>
            <w:r/>
            <w:r>
              <w:rPr>
                <w:rFonts w:ascii="游ゴシック" w:hAnsi="游ゴシック" w:eastAsia="游ゴシック"/>
                <w:b w:val="0"/>
                <w:sz w:val="18"/>
              </w:rPr>
              <w:t>調査データ</w:t>
            </w:r>
          </w:p>
        </w:tc>
      </w:tr>
      <w:tr>
        <w:tc>
          <w:tcPr>
            <w:tcW w:type="dxa" w:w="680"/>
          </w:tcPr>
          <w:p>
            <w:pPr>
              <w:spacing w:after="20" w:before="20"/>
            </w:pPr>
            <w:r/>
            <w:r>
              <w:rPr>
                <w:rFonts w:ascii="游ゴシック" w:hAnsi="游ゴシック" w:eastAsia="游ゴシック"/>
                <w:b w:val="0"/>
                <w:sz w:val="18"/>
              </w:rPr>
              <w:t>14</w:t>
            </w:r>
          </w:p>
        </w:tc>
        <w:tc>
          <w:tcPr>
            <w:tcW w:type="dxa" w:w="7030"/>
          </w:tcPr>
          <w:p>
            <w:pPr>
              <w:spacing w:after="20" w:before="20"/>
            </w:pPr>
            <w:r/>
            <w:r>
              <w:rPr>
                <w:rFonts w:ascii="游ゴシック" w:hAnsi="游ゴシック" w:eastAsia="游ゴシック"/>
                <w:b w:val="0"/>
                <w:sz w:val="18"/>
              </w:rPr>
              <w:t>施設・住まいの供給量の差し替えと調査の配布範囲（くるみの郷の定員を含む）</w:t>
            </w:r>
          </w:p>
        </w:tc>
        <w:tc>
          <w:tcPr>
            <w:tcW w:type="dxa" w:w="2041"/>
          </w:tcPr>
          <w:p>
            <w:pPr>
              <w:spacing w:after="20" w:before="20"/>
            </w:pPr>
            <w:r/>
            <w:r>
              <w:rPr>
                <w:rFonts w:ascii="游ゴシック" w:hAnsi="游ゴシック" w:eastAsia="游ゴシック"/>
                <w:b w:val="0"/>
                <w:sz w:val="18"/>
              </w:rPr>
              <w:t>資料</w:t>
            </w:r>
          </w:p>
        </w:tc>
      </w:tr>
    </w:tbl>
    <w:p>
      <w:pPr>
        <w:spacing w:after="80"/>
      </w:pPr>
    </w:p>
    <w:p>
      <w:pPr>
        <w:spacing w:after="120" w:before="0" w:line="276" w:lineRule="auto"/>
      </w:pPr>
      <w:r>
        <w:rPr>
          <w:rFonts w:ascii="游ゴシック" w:hAnsi="游ゴシック" w:eastAsia="游ゴシック"/>
          <w:b w:val="0"/>
          <w:sz w:val="19"/>
        </w:rPr>
        <w:t>※ 会議時間が限られる場合は、項目1・項目2・項目7を優先してください。この3件はいずれも他の作業の前提となります。</w:t>
      </w:r>
    </w:p>
    <w:p>
      <w:pPr>
        <w:spacing w:after="120" w:before="0" w:line="276" w:lineRule="auto"/>
      </w:pPr>
      <w:r>
        <w:rPr>
          <w:rFonts w:ascii="游ゴシック" w:hAnsi="游ゴシック" w:eastAsia="游ゴシック"/>
          <w:b w:val="0"/>
          <w:sz w:val="19"/>
        </w:rPr>
        <w:t>会議の締めくくりとして、次の3点を一覧で確認します。内容はヒアリングシート項目2・項目3の結果を転記するものです。</w:t>
      </w:r>
    </w:p>
    <w:tbl>
      <w:tblPr>
        <w:tblStyle w:val="TableGrid"/>
        <w:tblW w:type="auto" w:w="0"/>
        <w:jc w:val="center"/>
        <w:tblLook w:firstColumn="1" w:firstRow="1" w:lastColumn="0" w:lastRow="0" w:noHBand="0" w:noVBand="1" w:val="04A0"/>
      </w:tblPr>
      <w:tblGrid>
        <w:gridCol w:w="4876"/>
        <w:gridCol w:w="4876"/>
      </w:tblGrid>
      <w:tr>
        <w:tc>
          <w:tcPr>
            <w:tcW w:type="dxa" w:w="2494"/>
            <w:shd w:val="clear" w:fill="1F3864"/>
          </w:tcPr>
          <w:p>
            <w:pPr>
              <w:spacing w:after="20" w:before="20"/>
            </w:pPr>
            <w:r/>
            <w:r>
              <w:rPr>
                <w:rFonts w:ascii="游ゴシック" w:hAnsi="游ゴシック" w:eastAsia="游ゴシック"/>
                <w:b/>
                <w:color w:val="FFFFFF"/>
                <w:sz w:val="18"/>
              </w:rPr>
              <w:t>項目</w:t>
            </w:r>
          </w:p>
        </w:tc>
        <w:tc>
          <w:tcPr>
            <w:tcW w:type="dxa" w:w="7257"/>
            <w:shd w:val="clear" w:fill="1F3864"/>
          </w:tcPr>
          <w:p>
            <w:pPr>
              <w:spacing w:after="20" w:before="20"/>
            </w:pPr>
            <w:r/>
            <w:r>
              <w:rPr>
                <w:rFonts w:ascii="游ゴシック" w:hAnsi="游ゴシック" w:eastAsia="游ゴシック"/>
                <w:b/>
                <w:color w:val="FFFFFF"/>
                <w:sz w:val="18"/>
              </w:rPr>
              <w:t>記入欄</w:t>
            </w:r>
          </w:p>
        </w:tc>
      </w:tr>
      <w:tr>
        <w:tc>
          <w:tcPr>
            <w:tcW w:type="dxa" w:w="2494"/>
          </w:tcPr>
          <w:p>
            <w:pPr>
              <w:spacing w:after="20" w:before="20"/>
            </w:pPr>
            <w:r/>
            <w:r>
              <w:rPr>
                <w:rFonts w:ascii="游ゴシック" w:hAnsi="游ゴシック" w:eastAsia="游ゴシック"/>
                <w:b w:val="0"/>
                <w:sz w:val="18"/>
              </w:rPr>
              <w:t>次回協議日・委員会日</w:t>
            </w:r>
          </w:p>
        </w:tc>
        <w:tc>
          <w:tcPr>
            <w:tcW w:type="dxa" w:w="7257"/>
          </w:tcPr>
          <w:p>
            <w:pPr>
              <w:spacing w:after="20" w:before="20"/>
            </w:pPr>
            <w:r/>
            <w:r>
              <w:rPr>
                <w:rFonts w:ascii="游ゴシック" w:hAnsi="游ゴシック" w:eastAsia="游ゴシック"/>
                <w:b w:val="0"/>
                <w:sz w:val="18"/>
              </w:rPr>
              <w:t>【要確認】</w:t>
            </w:r>
          </w:p>
        </w:tc>
      </w:tr>
      <w:tr>
        <w:tc>
          <w:tcPr>
            <w:tcW w:type="dxa" w:w="2494"/>
          </w:tcPr>
          <w:p>
            <w:pPr>
              <w:spacing w:after="20" w:before="20"/>
            </w:pPr>
            <w:r/>
            <w:r>
              <w:rPr>
                <w:rFonts w:ascii="游ゴシック" w:hAnsi="游ゴシック" w:eastAsia="游ゴシック"/>
                <w:b w:val="0"/>
                <w:sz w:val="18"/>
              </w:rPr>
              <w:t>最優先資料の提出期限</w:t>
            </w:r>
          </w:p>
        </w:tc>
        <w:tc>
          <w:tcPr>
            <w:tcW w:type="dxa" w:w="7257"/>
          </w:tcPr>
          <w:p>
            <w:pPr>
              <w:spacing w:after="20" w:before="20"/>
            </w:pPr>
            <w:r/>
            <w:r>
              <w:rPr>
                <w:rFonts w:ascii="游ゴシック" w:hAnsi="游ゴシック" w:eastAsia="游ゴシック"/>
                <w:b w:val="0"/>
                <w:sz w:val="18"/>
              </w:rPr>
              <w:t>【要確認】</w:t>
            </w:r>
          </w:p>
        </w:tc>
      </w:tr>
      <w:tr>
        <w:tc>
          <w:tcPr>
            <w:tcW w:type="dxa" w:w="2494"/>
          </w:tcPr>
          <w:p>
            <w:pPr>
              <w:spacing w:after="20" w:before="20"/>
            </w:pPr>
            <w:r/>
            <w:r>
              <w:rPr>
                <w:rFonts w:ascii="游ゴシック" w:hAnsi="游ゴシック" w:eastAsia="游ゴシック"/>
                <w:b w:val="0"/>
                <w:sz w:val="18"/>
              </w:rPr>
              <w:t>主な担当窓口</w:t>
            </w:r>
          </w:p>
        </w:tc>
        <w:tc>
          <w:tcPr>
            <w:tcW w:type="dxa" w:w="7257"/>
          </w:tcPr>
          <w:p>
            <w:pPr>
              <w:spacing w:after="20" w:before="20"/>
            </w:pPr>
            <w:r/>
            <w:r>
              <w:rPr>
                <w:rFonts w:ascii="游ゴシック" w:hAnsi="游ゴシック" w:eastAsia="游ゴシック"/>
                <w:b w:val="0"/>
                <w:sz w:val="18"/>
              </w:rPr>
              <w:t>広域連合：【要確認】　各町：【要確認】　受託者：【要確認】</w:t>
            </w:r>
          </w:p>
        </w:tc>
      </w:tr>
    </w:tbl>
    <w:p>
      <w:pPr>
        <w:spacing w:after="80"/>
      </w:pPr>
    </w:p>
    <w:p>
      <w:pPr>
        <w:spacing w:before="240" w:after="100"/>
      </w:pPr>
      <w:r>
        <w:rPr>
          <w:rFonts w:ascii="游ゴシック" w:hAnsi="游ゴシック" w:eastAsia="游ゴシック"/>
          <w:b/>
          <w:color w:val="1F3864"/>
          <w:sz w:val="26"/>
        </w:rPr>
        <w:t>13. 個人情報の取扱い・まとめ</w:t>
      </w:r>
    </w:p>
    <w:p>
      <w:pPr>
        <w:spacing w:after="120" w:before="0" w:line="276" w:lineRule="auto"/>
      </w:pPr>
      <w:r>
        <w:rPr>
          <w:rFonts w:ascii="游ゴシック" w:hAnsi="游ゴシック" w:eastAsia="游ゴシック"/>
          <w:b w:val="0"/>
          <w:sz w:val="21"/>
        </w:rPr>
        <w:t>健康とくらしの調査の個票データ4,729票は受領済みです。個人情報を含むため、成果品には集計値のみを収録し、個票データそのものは納品物に含めない扱いとしています。この扱いの可否及び業務終了後の取扱い（返却・消去・消去証明の要否）をご確認ください（別冊のヒアリングシート 項目10）。町別・小学校区別の少数値を含む資料についても、関係法令及び広域連合の取扱いルールに基づき適正に管理します。</w:t>
      </w:r>
    </w:p>
    <w:tbl>
      <w:tblPr>
        <w:tblStyle w:val="TableGrid"/>
        <w:tblW w:type="auto" w:w="0"/>
        <w:jc w:val="center"/>
        <w:tblLook w:firstColumn="1" w:firstRow="1" w:lastColumn="0" w:lastRow="0" w:noHBand="0" w:noVBand="1" w:val="04A0"/>
      </w:tblPr>
      <w:tblGrid>
        <w:gridCol w:w="4876"/>
        <w:gridCol w:w="4876"/>
      </w:tblGrid>
      <w:tr>
        <w:tc>
          <w:tcPr>
            <w:tcW w:type="dxa" w:w="2041"/>
            <w:shd w:val="clear" w:fill="1F3864"/>
          </w:tcPr>
          <w:p>
            <w:pPr>
              <w:spacing w:after="20" w:before="20"/>
            </w:pPr>
            <w:r/>
            <w:r>
              <w:rPr>
                <w:rFonts w:ascii="游ゴシック" w:hAnsi="游ゴシック" w:eastAsia="游ゴシック"/>
                <w:b/>
                <w:color w:val="FFFFFF"/>
                <w:sz w:val="18"/>
              </w:rPr>
              <w:t>管理事項</w:t>
            </w:r>
          </w:p>
        </w:tc>
        <w:tc>
          <w:tcPr>
            <w:tcW w:type="dxa" w:w="7710"/>
            <w:shd w:val="clear" w:fill="1F3864"/>
          </w:tcPr>
          <w:p>
            <w:pPr>
              <w:spacing w:after="20" w:before="20"/>
            </w:pPr>
            <w:r/>
            <w:r>
              <w:rPr>
                <w:rFonts w:ascii="游ゴシック" w:hAnsi="游ゴシック" w:eastAsia="游ゴシック"/>
                <w:b/>
                <w:color w:val="FFFFFF"/>
                <w:sz w:val="18"/>
              </w:rPr>
              <w:t>対応方針</w:t>
            </w:r>
          </w:p>
        </w:tc>
      </w:tr>
      <w:tr>
        <w:tc>
          <w:tcPr>
            <w:tcW w:type="dxa" w:w="2041"/>
          </w:tcPr>
          <w:p>
            <w:pPr>
              <w:spacing w:after="20" w:before="20"/>
            </w:pPr>
            <w:r/>
            <w:r>
              <w:rPr>
                <w:rFonts w:ascii="游ゴシック" w:hAnsi="游ゴシック" w:eastAsia="游ゴシック"/>
                <w:b w:val="0"/>
                <w:sz w:val="18"/>
              </w:rPr>
              <w:t>資料授受</w:t>
            </w:r>
          </w:p>
        </w:tc>
        <w:tc>
          <w:tcPr>
            <w:tcW w:type="dxa" w:w="7710"/>
          </w:tcPr>
          <w:p>
            <w:pPr>
              <w:spacing w:after="20" w:before="20"/>
            </w:pPr>
            <w:r/>
            <w:r>
              <w:rPr>
                <w:rFonts w:ascii="游ゴシック" w:hAnsi="游ゴシック" w:eastAsia="游ゴシック"/>
                <w:b w:val="0"/>
                <w:sz w:val="18"/>
              </w:rPr>
              <w:t>指定された安全な方法を使用し、送付先、受領者及びファイル名を確認</w:t>
            </w:r>
          </w:p>
        </w:tc>
      </w:tr>
      <w:tr>
        <w:tc>
          <w:tcPr>
            <w:tcW w:type="dxa" w:w="2041"/>
          </w:tcPr>
          <w:p>
            <w:pPr>
              <w:spacing w:after="20" w:before="20"/>
            </w:pPr>
            <w:r/>
            <w:r>
              <w:rPr>
                <w:rFonts w:ascii="游ゴシック" w:hAnsi="游ゴシック" w:eastAsia="游ゴシック"/>
                <w:b w:val="0"/>
                <w:sz w:val="18"/>
              </w:rPr>
              <w:t>データ最小化</w:t>
            </w:r>
          </w:p>
        </w:tc>
        <w:tc>
          <w:tcPr>
            <w:tcW w:type="dxa" w:w="7710"/>
          </w:tcPr>
          <w:p>
            <w:pPr>
              <w:spacing w:after="20" w:before="20"/>
            </w:pPr>
            <w:r/>
            <w:r>
              <w:rPr>
                <w:rFonts w:ascii="游ゴシック" w:hAnsi="游ゴシック" w:eastAsia="游ゴシック"/>
                <w:b w:val="0"/>
                <w:sz w:val="18"/>
              </w:rPr>
              <w:t>分析に不要な個人識別情報は受領しない、又は匿名化・集約化</w:t>
            </w:r>
          </w:p>
        </w:tc>
      </w:tr>
      <w:tr>
        <w:tc>
          <w:tcPr>
            <w:tcW w:type="dxa" w:w="2041"/>
          </w:tcPr>
          <w:p>
            <w:pPr>
              <w:spacing w:after="20" w:before="20"/>
            </w:pPr>
            <w:r/>
            <w:r>
              <w:rPr>
                <w:rFonts w:ascii="游ゴシック" w:hAnsi="游ゴシック" w:eastAsia="游ゴシック"/>
                <w:b w:val="0"/>
                <w:sz w:val="18"/>
              </w:rPr>
              <w:t>保管・アクセス</w:t>
            </w:r>
          </w:p>
        </w:tc>
        <w:tc>
          <w:tcPr>
            <w:tcW w:type="dxa" w:w="7710"/>
          </w:tcPr>
          <w:p>
            <w:pPr>
              <w:spacing w:after="20" w:before="20"/>
            </w:pPr>
            <w:r/>
            <w:r>
              <w:rPr>
                <w:rFonts w:ascii="游ゴシック" w:hAnsi="游ゴシック" w:eastAsia="游ゴシック"/>
                <w:b w:val="0"/>
                <w:sz w:val="18"/>
              </w:rPr>
              <w:t>業務関係者に限定し、保存場所と版を一元管理</w:t>
            </w:r>
          </w:p>
        </w:tc>
      </w:tr>
      <w:tr>
        <w:tc>
          <w:tcPr>
            <w:tcW w:type="dxa" w:w="2041"/>
          </w:tcPr>
          <w:p>
            <w:pPr>
              <w:spacing w:after="20" w:before="20"/>
            </w:pPr>
            <w:r/>
            <w:r>
              <w:rPr>
                <w:rFonts w:ascii="游ゴシック" w:hAnsi="游ゴシック" w:eastAsia="游ゴシック"/>
                <w:b w:val="0"/>
                <w:sz w:val="18"/>
              </w:rPr>
              <w:t>成果物への掲載</w:t>
            </w:r>
          </w:p>
        </w:tc>
        <w:tc>
          <w:tcPr>
            <w:tcW w:type="dxa" w:w="7710"/>
          </w:tcPr>
          <w:p>
            <w:pPr>
              <w:spacing w:after="20" w:before="20"/>
            </w:pPr>
            <w:r/>
            <w:r>
              <w:rPr>
                <w:rFonts w:ascii="游ゴシック" w:hAnsi="游ゴシック" w:eastAsia="游ゴシック"/>
                <w:b w:val="0"/>
                <w:sz w:val="18"/>
              </w:rPr>
              <w:t>少数値・個別事例等から個人や事業所が識別されないよう確認</w:t>
            </w:r>
          </w:p>
        </w:tc>
      </w:tr>
      <w:tr>
        <w:tc>
          <w:tcPr>
            <w:tcW w:type="dxa" w:w="2041"/>
          </w:tcPr>
          <w:p>
            <w:pPr>
              <w:spacing w:after="20" w:before="20"/>
            </w:pPr>
            <w:r/>
            <w:r>
              <w:rPr>
                <w:rFonts w:ascii="游ゴシック" w:hAnsi="游ゴシック" w:eastAsia="游ゴシック"/>
                <w:b w:val="0"/>
                <w:sz w:val="18"/>
              </w:rPr>
              <w:t>返却・廃棄</w:t>
            </w:r>
          </w:p>
        </w:tc>
        <w:tc>
          <w:tcPr>
            <w:tcW w:type="dxa" w:w="7710"/>
          </w:tcPr>
          <w:p>
            <w:pPr>
              <w:spacing w:after="20" w:before="20"/>
            </w:pPr>
            <w:r/>
            <w:r>
              <w:rPr>
                <w:rFonts w:ascii="游ゴシック" w:hAnsi="游ゴシック" w:eastAsia="游ゴシック"/>
                <w:b w:val="0"/>
                <w:sz w:val="18"/>
              </w:rPr>
              <w:t>契約及び指示に基づき、返却・削除・廃棄の記録を保存</w:t>
            </w:r>
          </w:p>
        </w:tc>
      </w:tr>
    </w:tbl>
    <w:p>
      <w:pPr>
        <w:spacing w:after="80"/>
      </w:pPr>
    </w:p>
    <w:tbl>
      <w:tblPr>
        <w:tblStyle w:val="TableGrid"/>
        <w:tblW w:type="auto" w:w="0"/>
        <w:tblLook w:firstColumn="1" w:firstRow="1" w:lastColumn="0" w:lastRow="0" w:noHBand="0" w:noVBand="1" w:val="04A0"/>
      </w:tblPr>
      <w:tblGrid>
        <w:gridCol w:w="9752"/>
      </w:tblGrid>
      <w:tr>
        <w:tc>
          <w:tcPr>
            <w:tcW w:type="dxa" w:w="9751"/>
            <w:shd w:val="clear" w:fill="F3F7FA"/>
          </w:tcPr>
          <w:p>
            <w:pPr>
              <w:spacing w:after="40"/>
            </w:pPr>
            <w:r/>
            <w:r>
              <w:rPr>
                <w:rFonts w:ascii="游ゴシック" w:hAnsi="游ゴシック" w:eastAsia="游ゴシック"/>
                <w:b/>
                <w:color w:val="1F3864"/>
                <w:sz w:val="21"/>
              </w:rPr>
              <w:t>まとめ</w:t>
            </w:r>
          </w:p>
          <w:p>
            <w:pPr>
              <w:spacing w:after="20" w:before="0"/>
            </w:pPr>
            <w:r>
              <w:rPr>
                <w:rFonts w:ascii="游ゴシック" w:hAnsi="游ゴシック" w:eastAsia="游ゴシック"/>
                <w:sz w:val="19"/>
              </w:rPr>
              <w:t>・計画素案第10稿、第1回委員会資料、代表KPIの定義、3町役割分担及び見える化整合済み自然体推計まで準備できています。</w:t>
            </w:r>
          </w:p>
          <w:p>
            <w:pPr>
              <w:spacing w:after="20" w:before="0"/>
            </w:pPr>
            <w:r>
              <w:rPr>
                <w:rFonts w:ascii="游ゴシック" w:hAnsi="游ゴシック" w:eastAsia="游ゴシック"/>
                <w:sz w:val="19"/>
              </w:rPr>
              <w:t>・人口推計の基礎は社人研推計を受託者の案とし、これを仮に置いて将来推計の第1段階（人口と認定者数）を試算しました。基準年度の推計値は実績1,984人と一致します。基礎の採用については本日ご意向を確認します。</w:t>
            </w:r>
          </w:p>
          <w:p>
            <w:pPr>
              <w:spacing w:after="20" w:before="0"/>
            </w:pPr>
            <w:r>
              <w:rPr>
                <w:rFonts w:ascii="游ゴシック" w:hAnsi="游ゴシック" w:eastAsia="游ゴシック"/>
                <w:sz w:val="19"/>
              </w:rPr>
              <w:t>・給付水準は全国を上回りますが上川管内では平均並みであり、17年間の伸びは管内で小さい方に属します。水準の高さと伸びの大きさを分けて評価します。</w:t>
            </w:r>
          </w:p>
          <w:p>
            <w:pPr>
              <w:spacing w:after="20" w:before="0"/>
            </w:pPr>
            <w:r>
              <w:rPr>
                <w:rFonts w:ascii="游ゴシック" w:hAnsi="游ゴシック" w:eastAsia="游ゴシック"/>
                <w:sz w:val="19"/>
              </w:rPr>
              <w:t>・3町の自給率（算定できる区分の単純平均）は63〜78％で、施設・居住系では給付の23〜35％が区域外の事業所によるものです。給付額による加重平均の算定には町別のサービス区分別給付費を要します。供給制約の重点論点として確認します。</w:t>
            </w:r>
          </w:p>
          <w:p>
            <w:pPr>
              <w:spacing w:after="20" w:before="0"/>
            </w:pPr>
            <w:r>
              <w:rPr>
                <w:rFonts w:ascii="游ゴシック" w:hAnsi="游ゴシック" w:eastAsia="游ゴシック"/>
                <w:sz w:val="19"/>
              </w:rPr>
              <w:t>・直近の最優先は、令和6～8年度実績の受領、3調査の点検事項の解消、サービス種別・要介護度別の受給者数の受領、及び認定率のシナリオのご意向の確認です。</w:t>
            </w:r>
          </w:p>
          <w:p>
            <w:pPr>
              <w:spacing w:after="20" w:before="0"/>
            </w:pPr>
            <w:r>
              <w:rPr>
                <w:rFonts w:ascii="游ゴシック" w:hAnsi="游ゴシック" w:eastAsia="游ゴシック"/>
                <w:sz w:val="19"/>
              </w:rPr>
              <w:t>・介護保険事業計画と3町高齢者福祉計画を分離しつつ、共通データ、役割分担及び成果指標で接続します。</w:t>
            </w:r>
          </w:p>
          <w:p>
            <w:pPr>
              <w:spacing w:after="20" w:before="0"/>
            </w:pPr>
            <w:r>
              <w:rPr>
                <w:rFonts w:ascii="游ゴシック" w:hAnsi="游ゴシック" w:eastAsia="游ゴシック"/>
                <w:sz w:val="19"/>
              </w:rPr>
              <w:t>・採用保険料は、供給制約、基金、制度改正等を含む複数シナリオを委員会で比較して決定します。</w:t>
            </w:r>
          </w:p>
        </w:tc>
      </w:tr>
    </w:tbl>
    <w:p>
      <w:pPr>
        <w:spacing w:after="80"/>
      </w:pPr>
    </w:p>
    <w:p>
      <w:pPr>
        <w:spacing w:before="240" w:after="100"/>
      </w:pPr>
      <w:r>
        <w:rPr>
          <w:rFonts w:ascii="游ゴシック" w:hAnsi="游ゴシック" w:eastAsia="游ゴシック"/>
          <w:b/>
          <w:color w:val="1F3864"/>
          <w:sz w:val="22"/>
        </w:rPr>
        <w:t>会議後2週間の重点行動</w:t>
      </w:r>
    </w:p>
    <w:p>
      <w:pPr>
        <w:spacing w:after="40"/>
        <w:ind w:left="283"/>
      </w:pPr>
      <w:r>
        <w:rPr>
          <w:rFonts w:ascii="游ゴシック" w:hAnsi="游ゴシック" w:eastAsia="游ゴシック"/>
          <w:sz w:val="21"/>
        </w:rPr>
        <w:t>・令和6～8年度実績の資料依頼を行い、第9期19施策の達成度判定を進めます。</w:t>
      </w:r>
    </w:p>
    <w:p>
      <w:pPr>
        <w:spacing w:after="40"/>
        <w:ind w:left="283"/>
      </w:pPr>
      <w:r>
        <w:rPr>
          <w:rFonts w:ascii="游ゴシック" w:hAnsi="游ゴシック" w:eastAsia="游ゴシック"/>
          <w:sz w:val="21"/>
        </w:rPr>
        <w:t>・3調査の点検事項32件を整理し、重大5件のご意向を確認したうえで計画本文へ反映します。要介護度別認定者数は令和8年8月4日に見える化B3系列で受領しました。将来推計の第2段階に必要なサービス種別・要介護度別の受給者数の受領を進めます。</w:t>
      </w:r>
    </w:p>
    <w:p>
      <w:pPr>
        <w:spacing w:after="40"/>
        <w:ind w:left="283"/>
      </w:pPr>
      <w:r>
        <w:rPr>
          <w:rFonts w:ascii="游ゴシック" w:hAnsi="游ゴシック" w:eastAsia="游ゴシック"/>
          <w:sz w:val="21"/>
        </w:rPr>
        <w:t>・人口推計の基礎及び認定率のシナリオについてご意向を確認し、将来推計の第1段階を確定します。</w:t>
      </w:r>
    </w:p>
    <w:p>
      <w:pPr>
        <w:spacing w:after="40"/>
        <w:ind w:left="283"/>
      </w:pPr>
      <w:r>
        <w:rPr>
          <w:rFonts w:ascii="游ゴシック" w:hAnsi="游ゴシック" w:eastAsia="游ゴシック"/>
          <w:sz w:val="21"/>
        </w:rPr>
        <w:t>・健康とくらしの調査の分析結果を計画素案の第2章第4節及び第5章基本目標1へ反映します。</w:t>
      </w:r>
    </w:p>
    <w:p>
      <w:pPr>
        <w:spacing w:after="40"/>
        <w:ind w:left="283"/>
      </w:pPr>
      <w:r>
        <w:rPr>
          <w:rFonts w:ascii="游ゴシック" w:hAnsi="游ゴシック" w:eastAsia="游ゴシック"/>
          <w:sz w:val="21"/>
        </w:rPr>
        <w:t>・施設・住まいの供給量を計画素案 第2章第3節へ反映し、未回答施設への照会の要否についてご意向を確認します。グループホームくるみの郷の定員は指定事業所台帳によります。</w:t>
      </w:r>
    </w:p>
    <w:p>
      <w:pPr>
        <w:spacing w:after="40"/>
        <w:ind w:left="283"/>
      </w:pPr>
      <w:r>
        <w:rPr>
          <w:rFonts w:ascii="游ゴシック" w:hAnsi="游ゴシック" w:eastAsia="游ゴシック"/>
          <w:sz w:val="21"/>
        </w:rPr>
        <w:t>・キックオフ資料を第6稿から更新し、本日いただいたご意向を業務工程管理表及び必要事項の一覧に反映します。</w:t>
      </w:r>
    </w:p>
    <w:p>
      <w:pPr>
        <w:spacing w:after="120" w:before="0" w:line="276" w:lineRule="auto"/>
      </w:pPr>
      <w:r>
        <w:rPr>
          <w:rFonts w:ascii="游ゴシック" w:hAnsi="游ゴシック" w:eastAsia="游ゴシック"/>
          <w:b w:val="0"/>
          <w:sz w:val="21"/>
        </w:rPr>
      </w:r>
    </w:p>
    <w:p>
      <w:pPr>
        <w:spacing w:after="0" w:before="0" w:line="276" w:lineRule="auto"/>
        <w:jc w:val="right"/>
      </w:pPr>
      <w:r>
        <w:rPr>
          <w:rFonts w:ascii="游ゴシック" w:hAnsi="游ゴシック" w:eastAsia="游ゴシック"/>
          <w:b w:val="0"/>
          <w:sz w:val="21"/>
        </w:rPr>
        <w:t>以上</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