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令和8年10月</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にいただいたご照会に対する回答です。基準日 令和8年10月5日。</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です。作業項目ごとの判定は業務工程管理表（01 業務内容別の進捗）の作業項目の欄に併記しています。</w:t>
      </w:r>
    </w:p>
    <w:p>
      <w:pPr>
        <w:keepNext/>
        <w:spacing w:before="160" w:after="40"/>
      </w:pPr>
      <w:r>
        <w:rPr>
          <w:rFonts w:ascii="游ゴシック" w:hAnsi="游ゴシック" w:eastAsia="游ゴシック"/>
          <w:b/>
          <w:sz w:val="20"/>
        </w:rPr>
        <w:t>表3　業務内容別の進捗（基準日 令和8年10月5日）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第8章第3節（2）に掲げた9件について、確認主体・確認の期限及び反映先を併せて示します。確認主体と期限は、実施済み3調査の受領点検と集計（02 点検で見つかった事項）に掲げているものです。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10シート）。</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確認事項は全173件、うち未決が160件です。そのまま掲げると用をなさないため、本節では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160件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160件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38件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全173件／未決160件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