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106</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事業の具体の内容、費用の負担及び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制度の内容が確定するまでは、必要となる事業費及び人員は算定できません。</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w:t>
        <w:br/>
        <w:t>出典：厚生労働省『基本指針の構成について』（第135回社会保障審議会介護保険部会 資料2-1、令和8年6月29日）　https://www.mhlw.go.jp/content/12300000/001715734.pdf</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登録施設介護支援等に係る利用者負担の在り方は引き続き検討することとされており（第1章第9節5）、利用者負担が設けられる場合は給付費の算定が変わります［要確認］。</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