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地域の課題（第5節）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ご決定をお願いする事項　26件（第6節）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認知症施策推進計画の扱い（第7節）</w:t>
            </w:r>
          </w:p>
        </w:tc>
      </w:tr>
      <w:tr>
        <w:trPr>
          <w:cantSplit/>
        </w:trPr>
        <w:tc>
          <w:tcPr>
            <w:tcW w:type="dxa" w:w="1474"/>
            <w:vAlign w:val="center"/>
          </w:tcPr>
          <w:p>
            <w:pPr>
              <w:spacing w:after="0"/>
              <w:jc w:val="center"/>
            </w:pPr>
            <w:r>
              <w:rPr>
                <w:rFonts w:ascii="游ゴシック" w:hAnsi="游ゴシック" w:eastAsia="游ゴシック"/>
                <w:b/>
                <w:sz w:val="18"/>
              </w:rPr>
              <w:t>6</w:t>
            </w:r>
          </w:p>
        </w:tc>
        <w:tc>
          <w:tcPr>
            <w:tcW w:type="dxa" w:w="8277"/>
            <w:vAlign w:val="center"/>
          </w:tcPr>
          <w:p>
            <w:pPr>
              <w:spacing w:after="0"/>
            </w:pPr>
            <w:r>
              <w:rPr>
                <w:rFonts w:ascii="游ゴシック" w:hAnsi="游ゴシック" w:eastAsia="游ゴシック"/>
                <w:b w:val="0"/>
                <w:sz w:val="18"/>
              </w:rPr>
              <w:t>資料のご提供のお願いと今後の進め方（第9節・第10節）</w:t>
            </w:r>
          </w:p>
        </w:tc>
      </w:tr>
    </w:tbl>
    <w:p>
      <w:pPr>
        <w:ind w:left="227"/>
      </w:pPr>
      <w:r>
        <w:rPr>
          <w:rFonts w:ascii="游ゴシック" w:hAnsi="游ゴシック" w:eastAsia="游ゴシック"/>
          <w:b w:val="0"/>
          <w:sz w:val="18"/>
        </w:rPr>
        <w:t>※ 町ごとの個別協議（令和8年10月中旬から下旬）でお伺いする事項は第8節に掲げています。本意見交換会では扱いません。</w:t>
      </w:r>
    </w:p>
    <w:p>
      <w:pPr>
        <w:keepNext/>
        <w:pageBreakBefore/>
        <w:spacing w:before="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表2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表3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177件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37件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26件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広域連合として決めていただく事項です（第6節）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東川町4件／美瑛町5件／東神楽町2件（第8節）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表4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keepNext/>
        <w:spacing w:before="160" w:after="40"/>
      </w:pPr>
      <w:r>
        <w:rPr>
          <w:rFonts w:ascii="游ゴシック" w:hAnsi="游ゴシック" w:eastAsia="游ゴシック"/>
          <w:b/>
          <w:sz w:val="20"/>
        </w:rPr>
        <w:t>表5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b w:val="0"/>
          <w:sz w:val="18"/>
        </w:rPr>
        <w:t>※ いずれも令和8年10月1日に確定し、第3節の算定に反映しています。</w:t>
      </w:r>
    </w:p>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表6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表7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表8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表9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pageBreakBefore/>
        <w:spacing w:before="0" w:after="120"/>
      </w:pPr>
      <w:r>
        <w:rPr>
          <w:rFonts w:ascii="游ゴシック" w:hAnsi="游ゴシック" w:eastAsia="游ゴシック"/>
          <w:b/>
          <w:color w:val="1F3864"/>
          <w:sz w:val="26"/>
        </w:rPr>
        <w:t>第5節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表10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第6節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keepNext/>
        <w:spacing w:before="180" w:after="60"/>
      </w:pPr>
      <w:r>
        <w:rPr>
          <w:rFonts w:ascii="游ゴシック" w:hAnsi="游ゴシック" w:eastAsia="游ゴシック"/>
          <w:b/>
          <w:sz w:val="22"/>
        </w:rPr>
        <w:t>1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表11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2　計画の記載に関わるもの（22件）</w:t>
      </w:r>
    </w:p>
    <w:p>
      <w:pPr>
        <w:keepNext/>
        <w:spacing w:before="160" w:after="40"/>
      </w:pPr>
      <w:r>
        <w:rPr>
          <w:rFonts w:ascii="游ゴシック" w:hAnsi="游ゴシック" w:eastAsia="游ゴシック"/>
          <w:b/>
          <w:sz w:val="20"/>
        </w:rPr>
        <w:t>表12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3　受託者が仮置きにより進めた事項（46件）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表13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第7節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表14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表15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第8節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表16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第9節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表19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spacing w:before="0" w:after="120"/>
      </w:pPr>
      <w:r>
        <w:rPr>
          <w:rFonts w:ascii="游ゴシック" w:hAnsi="游ゴシック" w:eastAsia="游ゴシック"/>
          <w:b/>
          <w:color w:val="1F3864"/>
          <w:sz w:val="26"/>
        </w:rPr>
        <w:t>第10節　10月以降の進め方</w:t>
      </w:r>
    </w:p>
    <w:p>
      <w:pPr>
        <w:keepNext/>
        <w:spacing w:before="160" w:after="40"/>
      </w:pPr>
      <w:r>
        <w:rPr>
          <w:rFonts w:ascii="游ゴシック" w:hAnsi="游ゴシック" w:eastAsia="游ゴシック"/>
          <w:b/>
          <w:sz w:val="20"/>
        </w:rPr>
        <w:t>表20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共通26件のご決定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第2次概算（令和8年10月30日）は、ご決定がない場合も第6節の仮置きにより組みます。その場合は、仮置きによったことを第2次概算の資料に明示します。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