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見出し1点＋本文5段落＋注記1点</w:t>
            </w:r>
          </w:p>
        </w:tc>
        <w:tc>
          <w:tcPr>
            <w:tcW w:w="1400" w:type="dxa"/>
          </w:tcPr>
          <w:p>
            <w:pPr>
              <w:spacing w:after="0"/>
            </w:pPr>
            <w:r>
              <w:rPr>
                <w:rFonts w:ascii="BIZ UDPゴシック" w:hAnsi="BIZ UDPゴシック" w:eastAsia="BIZ UDPゴシック" w:cs="BIZ UDPゴシック"/>
                <w:b w:val="0"/>
                <w:sz w:val="19"/>
              </w:rPr>
              <w:t>約1.2頁</w:t>
            </w:r>
          </w:p>
        </w:tc>
        <w:tc>
          <w:tcPr>
            <w:tcW w:w="5800" w:type="dxa"/>
          </w:tcPr>
          <w:p>
            <w:pPr>
              <w:spacing w:after="0"/>
            </w:pPr>
            <w:r>
              <w:rPr>
                <w:rFonts w:ascii="BIZ UDPゴシック" w:hAnsi="BIZ UDPゴシック" w:eastAsia="BIZ UDPゴシック" w:cs="BIZ UDPゴシック"/>
                <w:b w:val="0"/>
                <w:sz w:val="19"/>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本人の意思、選好及び価値観</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相談支援専門員によるモニタリング及び施設の地域移行等意向確認担当者による聴取。地域での暮らしに関する情報提供と体験の機会を用意したうえで確かめる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相談支援専門員及び村による聴取。本人の意思とは別に記録する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令和８年８月19日に示された基本指針の改正（こども家庭審議会障害児支援部会・社会保障審議会障害者部会）。「医療的ケア者」が新たに定められ、医療的ケア児と合わせて「医療的ケア児等」とされた。重症心身障害児者も対象に加わった</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spacing w:after="80"/>
        <w:ind w:firstLine="210"/>
      </w:pPr>
      <w:r>
        <w:rPr>
          <w:rFonts w:ascii="BIZ UDPゴシック" w:hAnsi="BIZ UDPゴシック" w:eastAsia="BIZ UDPゴシック" w:cs="BIZ UDPゴシック"/>
          <w:b w:val="0"/>
          <w:sz w:val="21"/>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spacing w:after="80"/>
        <w:ind w:firstLine="210"/>
      </w:pPr>
      <w:r>
        <w:rPr>
          <w:rFonts w:ascii="BIZ UDPゴシック" w:hAnsi="BIZ UDPゴシック" w:eastAsia="BIZ UDPゴシック" w:cs="BIZ UDPゴシック"/>
          <w:b w:val="0"/>
          <w:sz w:val="21"/>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spacing w:after="80"/>
        <w:ind w:firstLine="210"/>
      </w:pPr>
      <w:r>
        <w:rPr>
          <w:rFonts w:ascii="BIZ UDPゴシック" w:hAnsi="BIZ UDPゴシック" w:eastAsia="BIZ UDPゴシック" w:cs="BIZ UDPゴシック"/>
          <w:b w:val="0"/>
          <w:sz w:val="21"/>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spacing w:after="80"/>
        <w:ind w:firstLine="210"/>
      </w:pPr>
      <w:r>
        <w:rPr>
          <w:rFonts w:ascii="BIZ UDPゴシック" w:hAnsi="BIZ UDPゴシック" w:eastAsia="BIZ UDPゴシック" w:cs="BIZ UDPゴシック"/>
          <w:b w:val="0"/>
          <w:sz w:val="21"/>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spacing w:after="80"/>
        <w:ind w:firstLine="210"/>
      </w:pPr>
      <w:r>
        <w:rPr>
          <w:rFonts w:ascii="BIZ UDPゴシック" w:hAnsi="BIZ UDPゴシック" w:eastAsia="BIZ UDPゴシック" w:cs="BIZ UDPゴシック"/>
          <w:b w:val="0"/>
          <w:sz w:val="21"/>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施行は公布から2年6月を超えない範囲内で政令で定める日であり、本計画期間（令和9〜11年度）中に施行されるため、「施行される可能性がある」ではなく「本計画期間中に施行される」と書く</w:t>
      </w:r>
    </w:p>
    <w:p>
      <w:pPr>
        <w:spacing w:before="160" w:after="40"/>
      </w:pPr>
      <w:r>
        <w:rPr>
          <w:rFonts w:ascii="BIZ UDPゴシック" w:hAnsi="BIZ UDPゴシック" w:eastAsia="BIZ UDPゴシック" w:cs="BIZ UDPゴシック"/>
          <w:b/>
          <w:color w:val="2E75B6"/>
          <w:sz w:val="22"/>
        </w:rPr>
        <w:t xml:space="preserve">　入れるもの（見出し1点＋本文5段落＋注記1点／約1.2頁）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spacing w:after="80"/>
        <w:ind w:firstLine="210"/>
      </w:pPr>
      <w:r>
        <w:rPr>
          <w:rFonts w:ascii="BIZ UDPゴシック" w:hAnsi="BIZ UDPゴシック" w:eastAsia="BIZ UDPゴシック" w:cs="BIZ UDPゴシック"/>
          <w:b w:val="0"/>
          <w:sz w:val="21"/>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spacing w:after="80"/>
        <w:ind w:firstLine="210"/>
      </w:pPr>
      <w:r>
        <w:rPr>
          <w:rFonts w:ascii="BIZ UDPゴシック" w:hAnsi="BIZ UDPゴシック" w:eastAsia="BIZ UDPゴシック" w:cs="BIZ UDPゴシック"/>
          <w:b w:val="0"/>
          <w:sz w:val="21"/>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spacing w:after="80"/>
        <w:ind w:firstLine="210"/>
      </w:pPr>
      <w:r>
        <w:rPr>
          <w:rFonts w:ascii="BIZ UDPゴシック" w:hAnsi="BIZ UDPゴシック" w:eastAsia="BIZ UDPゴシック" w:cs="BIZ UDPゴシック"/>
          <w:b w:val="0"/>
          <w:sz w:val="21"/>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spacing w:after="80"/>
        <w:ind w:firstLine="210"/>
      </w:pPr>
      <w:r>
        <w:rPr>
          <w:rFonts w:ascii="BIZ UDPゴシック" w:hAnsi="BIZ UDPゴシック" w:eastAsia="BIZ UDPゴシック" w:cs="BIZ UDPゴシック"/>
          <w:b w:val="0"/>
          <w:sz w:val="21"/>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本人の意思、選好及び価値観</w:t>
            </w:r>
          </w:p>
        </w:tc>
        <w:tc>
          <w:tcPr>
            <w:tcW w:w="11000" w:type="dxa"/>
          </w:tcPr>
          <w:p>
            <w:pPr>
              <w:spacing w:after="0"/>
            </w:pPr>
            <w:r>
              <w:rPr>
                <w:rFonts w:ascii="BIZ UDPゴシック" w:hAnsi="BIZ UDPゴシック" w:eastAsia="BIZ UDPゴシック" w:cs="BIZ UDPゴシック"/>
                <w:b w:val="0"/>
                <w:sz w:val="19"/>
              </w:rPr>
              <w:t>どのような暮らし、日中の活動、働き方を望むか。本人が何を大切にしているか。意思決定支援ガイドライン（第２版）により、家族の意向とは分けて確かめ、別に記録する</w:t>
            </w:r>
          </w:p>
        </w:tc>
      </w:tr>
      <w:tr>
        <w:tc>
          <w:tcPr>
            <w:tcW w:w="4200" w:type="dxa"/>
          </w:tcPr>
          <w:p>
            <w:pPr>
              <w:spacing w:after="0"/>
            </w:pPr>
            <w:r>
              <w:rPr>
                <w:rFonts w:ascii="BIZ UDPゴシック" w:hAnsi="BIZ UDPゴシック" w:eastAsia="BIZ UDPゴシック" w:cs="BIZ UDPゴシック"/>
                <w:b w:val="0"/>
                <w:sz w:val="19"/>
              </w:rPr>
              <w:t>本人が体験したこと</w:t>
            </w:r>
          </w:p>
        </w:tc>
        <w:tc>
          <w:tcPr>
            <w:tcW w:w="11000" w:type="dxa"/>
          </w:tcPr>
          <w:p>
            <w:pPr>
              <w:spacing w:after="0"/>
            </w:pPr>
            <w:r>
              <w:rPr>
                <w:rFonts w:ascii="BIZ UDPゴシック" w:hAnsi="BIZ UDPゴシック" w:eastAsia="BIZ UDPゴシック" w:cs="BIZ UDPゴシック"/>
                <w:b w:val="0"/>
                <w:sz w:val="19"/>
              </w:rPr>
              <w:t>就労継続支援、生活介護、共同生活援助等の体験の有無。体験がなければ進路の希望そのものを形づくることが難しいため、意思を形づくる支援として体験の機会を用意する</w:t>
            </w:r>
          </w:p>
        </w:tc>
      </w:tr>
      <w:tr>
        <w:tc>
          <w:tcPr>
            <w:tcW w:w="4200" w:type="dxa"/>
          </w:tcPr>
          <w:p>
            <w:pPr>
              <w:spacing w:after="0"/>
            </w:pPr>
            <w:r>
              <w:rPr>
                <w:rFonts w:ascii="BIZ UDPゴシック" w:hAnsi="BIZ UDPゴシック" w:eastAsia="BIZ UDPゴシック" w:cs="BIZ UDPゴシック"/>
                <w:b w:val="0"/>
                <w:sz w:val="19"/>
              </w:rPr>
              <w:t>家族の意向</w:t>
            </w:r>
          </w:p>
        </w:tc>
        <w:tc>
          <w:tcPr>
            <w:tcW w:w="11000" w:type="dxa"/>
          </w:tcPr>
          <w:p>
            <w:pPr>
              <w:spacing w:after="0"/>
            </w:pPr>
            <w:r>
              <w:rPr>
                <w:rFonts w:ascii="BIZ UDPゴシック" w:hAnsi="BIZ UDPゴシック" w:eastAsia="BIZ UDPゴシック" w:cs="BIZ UDPゴシック"/>
                <w:b w:val="0"/>
                <w:sz w:val="19"/>
              </w:rPr>
              <w:t>本人の意思とは別の情報として記録する。本人の意思の実現に必要となる支援や課題を整理するために用いる</w:t>
            </w:r>
          </w:p>
        </w:tc>
      </w:tr>
      <w:tr>
        <w:tc>
          <w:tcPr>
            <w:tcW w:w="4200" w:type="dxa"/>
          </w:tcPr>
          <w:p>
            <w:pPr>
              <w:spacing w:after="0"/>
            </w:pPr>
            <w:r>
              <w:rPr>
                <w:rFonts w:ascii="BIZ UDPゴシック" w:hAnsi="BIZ UDPゴシック" w:eastAsia="BIZ UDPゴシック" w:cs="BIZ UDPゴシック"/>
                <w:b w:val="0"/>
                <w:sz w:val="19"/>
              </w:rPr>
              <w:t>進路の見込み</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Ｓ-4）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Ｍ-27）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Ｍ-34）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Ｍ-35）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Ｍ-36）。移植の申し送り７（災害時にサービスを止めないための備え）とは別の論点（避難そのものへの備え）である点に注意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Ｍ-37）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Ｍ-38）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Ｍ-39）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・移植10（基盤整備量）は定めなければならない事項です。県の算定値（Ｓ-6）が届くまで表は空欄になりますが、枠と考え方だけでも先に入れてください。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