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游ゴシック" w:cs="游ゴシック" w:eastAsia="游ゴシック" w:hAnsi="游ゴシック"/>
          <w:b/>
          <w:bCs/>
          <w:color w:val="1F3864"/>
          <w:sz w:val="22"/>
          <w:szCs w:val="22"/>
        </w:rPr>
        <w:t xml:space="preserve">川崎町・金ケ崎町　第10期介護保険事業計画　策定支援</w:t>
      </w:r>
    </w:p>
    <w:p>
      <w:pPr>
        <w:pBdr>
          <w:top w:val="single" w:color="1F3864" w:sz="2" w:space="8"/>
          <w:bottom w:val="single" w:color="1F3864" w:sz="2" w:space="8"/>
        </w:pBdr>
        <w:shd w:fill="1F3864" w:val="clear"/>
        <w:spacing w:after="40"/>
        <w:jc w:val="center"/>
      </w:pPr>
      <w:r>
        <w:rPr>
          <w:rFonts w:ascii="游ゴシック" w:cs="游ゴシック" w:eastAsia="游ゴシック" w:hAnsi="游ゴシック"/>
          <w:b/>
          <w:bCs/>
          <w:color w:val="FFFFFF"/>
          <w:sz w:val="30"/>
          <w:szCs w:val="30"/>
        </w:rPr>
        <w:t xml:space="preserve">給付費・保険料算定の精査レポート</w:t>
      </w:r>
    </w:p>
    <w:p>
      <w:pPr>
        <w:spacing w:after="20" w:before="100"/>
        <w:jc w:val="center"/>
      </w:pPr>
      <w:r>
        <w:rPr>
          <w:rFonts w:ascii="游明朝" w:cs="游明朝" w:eastAsia="游明朝" w:hAnsi="游明朝"/>
          <w:i/>
          <w:iCs/>
          <w:color w:val="2E75B6"/>
          <w:sz w:val="20"/>
          <w:szCs w:val="20"/>
        </w:rPr>
        <w:t xml:space="preserve">〜 前回計画（第9期）の算定式・国の指針／策定要領との照合 〜</w:t>
      </w:r>
    </w:p>
    <w:p>
      <w:pPr>
        <w:spacing w:before="100"/>
        <w:jc w:val="center"/>
      </w:pPr>
      <w:r>
        <w:rPr>
          <w:rFonts w:ascii="游明朝" w:cs="游明朝" w:eastAsia="游明朝" w:hAnsi="游明朝"/>
          <w:color w:val="808080"/>
          <w:sz w:val="18"/>
          <w:szCs w:val="18"/>
        </w:rPr>
        <w:t xml:space="preserve">令和8年6月　ビズアップ公共コンサルティング株式会社（札幌事業所）</w:t>
      </w:r>
    </w:p>
    <w:p>
      <w:pPr>
        <w:pBdr>
          <w:top w:val="single" w:color="1F3864" w:sz="2" w:space="6"/>
          <w:bottom w:val="single" w:color="1F3864" w:sz="2" w:space="6"/>
        </w:pBdr>
        <w:shd w:fill="1F3864" w:val="clear"/>
        <w:spacing w:after="150" w:before="300"/>
      </w:pPr>
      <w:r>
        <w:rPr>
          <w:rFonts w:ascii="游ゴシック" w:cs="游ゴシック" w:eastAsia="游ゴシック" w:hAnsi="游ゴシック"/>
          <w:b/>
          <w:bCs/>
          <w:color w:val="BF9000"/>
          <w:sz w:val="26"/>
          <w:szCs w:val="26"/>
        </w:rPr>
        <w:t xml:space="preserve">  要旨  </w:t>
      </w:r>
      <w:r>
        <w:rPr>
          <w:rFonts w:ascii="游ゴシック" w:cs="游ゴシック" w:eastAsia="游ゴシック" w:hAnsi="游ゴシック"/>
          <w:b/>
          <w:bCs/>
          <w:color w:val="FFFFFF"/>
          <w:sz w:val="26"/>
          <w:szCs w:val="26"/>
        </w:rPr>
        <w:t xml:space="preserve">精査結果の要点</w:t>
      </w:r>
    </w:p>
    <w:p>
      <w:pPr>
        <w:pBdr>
          <w:left w:val="single" w:color="548235" w:sz="18" w:space="10"/>
        </w:pBdr>
        <w:shd w:fill="E2EFDA" w:val="clear"/>
        <w:spacing w:after="120" w:before="80"/>
      </w:pPr>
      <w:r>
        <w:rPr>
          <w:rFonts w:ascii="游ゴシック" w:cs="游ゴシック" w:eastAsia="游ゴシック" w:hAnsi="游ゴシック"/>
          <w:b/>
          <w:bCs/>
          <w:color w:val="548235"/>
          <w:sz w:val="21"/>
          <w:szCs w:val="21"/>
        </w:rPr>
        <w:t xml:space="preserve">✓ 検証OK：</w:t>
      </w:r>
      <w:r>
        <w:rPr>
          <w:rFonts w:ascii="游明朝" w:cs="游明朝" w:eastAsia="游明朝" w:hAnsi="游明朝"/>
          <w:color w:val="262626"/>
          <w:sz w:val="21"/>
          <w:szCs w:val="21"/>
        </w:rPr>
        <w:t xml:space="preserve">保険料算定式の構造（標準給付費・地域支援事業費×第1号負担割合23%、調整交付金、準備基金取崩、予定収納率による按分）は、国の標準的算定方法と一致。川崎町第9期の各構成額も「取崩しをしない場合の収納必要額」まで完全に再現できた。</w:t>
      </w:r>
    </w:p>
    <w:p>
      <w:pPr>
        <w:pBdr>
          <w:top w:val="single" w:color="FCE4D6" w:sz="2" w:space="4"/>
          <w:left w:val="single" w:color="C55A11" w:sz="22" w:space="10"/>
          <w:bottom w:val="single" w:color="FCE4D6" w:sz="2" w:space="4"/>
        </w:pBdr>
        <w:shd w:fill="FCE4D6" w:val="clear"/>
        <w:spacing w:after="140" w:before="100"/>
      </w:pPr>
      <w:r>
        <w:rPr>
          <w:rFonts w:ascii="游ゴシック" w:cs="游ゴシック" w:eastAsia="游ゴシック" w:hAnsi="游ゴシック"/>
          <w:b/>
          <w:bCs/>
          <w:color w:val="C55A11"/>
          <w:sz w:val="21"/>
          <w:szCs w:val="21"/>
        </w:rPr>
        <w:t xml:space="preserve">◆ 発見1：</w:t>
      </w:r>
      <w:r>
        <w:rPr>
          <w:rFonts w:ascii="游ゴシック" w:cs="游ゴシック" w:eastAsia="游ゴシック" w:hAnsi="游ゴシック"/>
          <w:b/>
          <w:bCs/>
          <w:color w:val="1F3864"/>
          <w:sz w:val="21"/>
          <w:szCs w:val="21"/>
        </w:rPr>
        <w:t xml:space="preserve">保険料の按分被保険者数に用いる補正係数（所得段階別の加重平均料率）が、川崎町は実効で約0.96〜0.98。ワークブックの暫定値1.0は基準額を約3〜4%過小評価していたため、第9期計画から逆算した0.97に補正した。</w:t>
      </w:r>
    </w:p>
    <w:p>
      <w:pPr>
        <w:pBdr>
          <w:top w:val="single" w:color="FCE4D6" w:sz="2" w:space="4"/>
          <w:left w:val="single" w:color="C55A11" w:sz="22" w:space="10"/>
          <w:bottom w:val="single" w:color="FCE4D6" w:sz="2" w:space="4"/>
        </w:pBdr>
        <w:shd w:fill="FCE4D6" w:val="clear"/>
        <w:spacing w:after="140" w:before="100"/>
      </w:pPr>
      <w:r>
        <w:rPr>
          <w:rFonts w:ascii="游ゴシック" w:cs="游ゴシック" w:eastAsia="游ゴシック" w:hAnsi="游ゴシック"/>
          <w:b/>
          <w:bCs/>
          <w:color w:val="C55A11"/>
          <w:sz w:val="21"/>
          <w:szCs w:val="21"/>
        </w:rPr>
        <w:t xml:space="preserve">◆ 発見2：</w:t>
      </w:r>
      <w:r>
        <w:rPr>
          <w:rFonts w:ascii="游ゴシック" w:cs="游ゴシック" w:eastAsia="游ゴシック" w:hAnsi="游ゴシック"/>
          <w:b/>
          <w:bCs/>
          <w:color w:val="1F3864"/>
          <w:sz w:val="21"/>
          <w:szCs w:val="21"/>
        </w:rPr>
        <w:t xml:space="preserve">川崎町第9期計画の保険料算出表で「取崩しをしない場合の収納必要額（804,663千円）−取崩額（78,000千円）」と「取崩後の収納必要額（712,663千円）」に約14百万円の差がある。標準8ステップに現れない過年度精算・端数調整等と推察され、要確認。</w:t>
      </w:r>
    </w:p>
    <w:p>
      <w:pPr>
        <w:pBdr>
          <w:top w:val="single" w:color="FCE4D6" w:sz="2" w:space="4"/>
          <w:left w:val="single" w:color="C55A11" w:sz="22" w:space="10"/>
          <w:bottom w:val="single" w:color="FCE4D6" w:sz="2" w:space="4"/>
        </w:pBdr>
        <w:shd w:fill="FCE4D6" w:val="clear"/>
        <w:spacing w:after="140" w:before="100"/>
      </w:pPr>
      <w:r>
        <w:rPr>
          <w:rFonts w:ascii="游ゴシック" w:cs="游ゴシック" w:eastAsia="游ゴシック" w:hAnsi="游ゴシック"/>
          <w:b/>
          <w:bCs/>
          <w:color w:val="C55A11"/>
          <w:sz w:val="21"/>
          <w:szCs w:val="21"/>
        </w:rPr>
        <w:t xml:space="preserve">◆ 発見3：</w:t>
      </w:r>
      <w:r>
        <w:rPr>
          <w:rFonts w:ascii="游ゴシック" w:cs="游ゴシック" w:eastAsia="游ゴシック" w:hAnsi="游ゴシック"/>
          <w:b/>
          <w:bCs/>
          <w:color w:val="1F3864"/>
          <w:sz w:val="21"/>
          <w:szCs w:val="21"/>
        </w:rPr>
        <w:t xml:space="preserve">川崎町第9期の調整交付金見込額は標準5%相当を下回る約3.9%。後期高齢化・低所得の保険者は普通調整交付金が5%超となる例が多く、実際の交付実績の確認を推奨（5%なら基準額は約4%低下し、発見1の補正と相殺）。</w:t>
      </w:r>
    </w:p>
    <w:p>
      <w:pPr>
        <w:spacing w:after="120"/>
      </w:pPr>
      <w:r>
        <w:rPr>
          <w:rFonts w:ascii="游明朝" w:cs="游明朝" w:eastAsia="游明朝" w:hAnsi="游明朝"/>
          <w:i/>
          <w:iCs/>
          <w:color w:val="808080"/>
          <w:sz w:val="17"/>
          <w:szCs w:val="17"/>
        </w:rPr>
        <w:t xml:space="preserve">※ 発見1（基準額を上げる）と発見3（基準額を下げる）はほぼ相殺し、第10期基準額の中心推計7,000円台は頑健。確定値は町提供データ（所得段階別人口・調整交付金交付実績・基金残高R8.6）で算定する。</w:t>
      </w:r>
    </w:p>
    <w:p>
      <w:pPr>
        <w:pBdr>
          <w:top w:val="single" w:color="1F3864" w:sz="2" w:space="6"/>
          <w:bottom w:val="single" w:color="1F3864" w:sz="2" w:space="6"/>
        </w:pBdr>
        <w:shd w:fill="1F3864" w:val="clear"/>
        <w:spacing w:after="150" w:before="300"/>
      </w:pPr>
      <w:r>
        <w:rPr>
          <w:rFonts w:ascii="游ゴシック" w:cs="游ゴシック" w:eastAsia="游ゴシック" w:hAnsi="游ゴシック"/>
          <w:b/>
          <w:bCs/>
          <w:color w:val="BF9000"/>
          <w:sz w:val="26"/>
          <w:szCs w:val="26"/>
        </w:rPr>
        <w:t xml:space="preserve">  1  </w:t>
      </w:r>
      <w:r>
        <w:rPr>
          <w:rFonts w:ascii="游ゴシック" w:cs="游ゴシック" w:eastAsia="游ゴシック" w:hAnsi="游ゴシック"/>
          <w:b/>
          <w:bCs/>
          <w:color w:val="FFFFFF"/>
          <w:sz w:val="26"/>
          <w:szCs w:val="26"/>
        </w:rPr>
        <w:t xml:space="preserve">精査の目的と方法</w:t>
      </w:r>
    </w:p>
    <w:p>
      <w:pPr>
        <w:spacing w:after="120" w:line="300"/>
        <w:jc w:val="both"/>
      </w:pPr>
      <w:r>
        <w:rPr>
          <w:rFonts w:ascii="游明朝" w:cs="游明朝" w:eastAsia="游明朝" w:hAnsi="游明朝"/>
          <w:color w:val="262626"/>
          <w:sz w:val="21"/>
          <w:szCs w:val="21"/>
        </w:rPr>
        <w:t xml:space="preserve">第10期計画の給付費・保険料試算の妥当性を確かめるため、(1)国の標準的算定方法（厚生労働省）、(2)川崎町・金ケ崎町の前回計画（第9期）の保険料算出式、(3)当社作成の保険料試算ワークブックの3者を突き合わせ、構成額・算定式・諸係数を1項目ずつ検証した。</w:t>
      </w:r>
    </w:p>
    <w:p>
      <w:pPr>
        <w:spacing w:after="40" w:before="80"/>
      </w:pPr>
      <w:r>
        <w:rPr>
          <w:rFonts w:ascii="游ゴシック" w:cs="游ゴシック" w:eastAsia="游ゴシック" w:hAnsi="游ゴシック"/>
          <w:b/>
          <w:bCs/>
          <w:color w:val="1F3864"/>
          <w:sz w:val="20"/>
          <w:szCs w:val="20"/>
        </w:rPr>
        <w:t xml:space="preserve">表　照合に用いた主な根拠</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rPr>
          <w:tblHeader/>
        </w:trPr>
        <w:tc>
          <w:tcPr>
            <w:tcW w:type="dxa" w:w="30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8"/>
                <w:szCs w:val="18"/>
              </w:rPr>
              <w:t xml:space="preserve">区分</w:t>
            </w:r>
          </w:p>
        </w:tc>
        <w:tc>
          <w:tcPr>
            <w:tcW w:type="dxa" w:w="656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8"/>
                <w:szCs w:val="18"/>
              </w:rPr>
              <w:t xml:space="preserve">出典</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明朝" w:cs="游明朝" w:eastAsia="游明朝" w:hAnsi="游明朝"/>
                <w:b/>
                <w:bCs/>
                <w:color w:val="262626"/>
                <w:sz w:val="18"/>
                <w:szCs w:val="18"/>
              </w:rPr>
              <w:t xml:space="preserve">国の標準算定式</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厚生労働省「介護保険の保険料（第1号被保険者）財政の仕組み」、第9期保険料算定の自治体公表例（松阪市・長野市・新宿区等）</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明朝" w:cs="游明朝" w:eastAsia="游明朝" w:hAnsi="游明朝"/>
                <w:b/>
                <w:bCs/>
                <w:color w:val="262626"/>
                <w:sz w:val="18"/>
                <w:szCs w:val="18"/>
              </w:rPr>
              <w:t xml:space="preserve">調整交付金の算定式</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介護保険最新情報Vol.1190（令和5年12月22日・厚生労働省老健局介護保険計画課）後期高齢者加入割合補正係数・所得段階別加入割合補正係数</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明朝" w:cs="游明朝" w:eastAsia="游明朝" w:hAnsi="游明朝"/>
                <w:b/>
                <w:bCs/>
                <w:color w:val="262626"/>
                <w:sz w:val="18"/>
                <w:szCs w:val="18"/>
              </w:rPr>
              <w:t xml:space="preserve">両町の前回保険料</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厚生労働省「第9期介護保険の第1号保険料」全国一覧（川崎町6,500円／金ケ崎町4,900円）、川崎町第9期計画 第6章 保険料算出</w:t>
            </w:r>
          </w:p>
        </w:tc>
      </w:tr>
    </w:tbl>
    <w:p>
      <w:pPr>
        <w:pBdr>
          <w:top w:val="single" w:color="1F3864" w:sz="2" w:space="6"/>
          <w:bottom w:val="single" w:color="1F3864" w:sz="2" w:space="6"/>
        </w:pBdr>
        <w:shd w:fill="1F3864" w:val="clear"/>
        <w:spacing w:after="150" w:before="300"/>
      </w:pPr>
      <w:r>
        <w:rPr>
          <w:rFonts w:ascii="游ゴシック" w:cs="游ゴシック" w:eastAsia="游ゴシック" w:hAnsi="游ゴシック"/>
          <w:b/>
          <w:bCs/>
          <w:color w:val="BF9000"/>
          <w:sz w:val="26"/>
          <w:szCs w:val="26"/>
        </w:rPr>
        <w:t xml:space="preserve">  2  </w:t>
      </w:r>
      <w:r>
        <w:rPr>
          <w:rFonts w:ascii="游ゴシック" w:cs="游ゴシック" w:eastAsia="游ゴシック" w:hAnsi="游ゴシック"/>
          <w:b/>
          <w:bCs/>
          <w:color w:val="FFFFFF"/>
          <w:sz w:val="26"/>
          <w:szCs w:val="26"/>
        </w:rPr>
        <w:t xml:space="preserve">国の標準的な保険料算定式（確認結果）</w:t>
      </w:r>
    </w:p>
    <w:p>
      <w:pPr>
        <w:spacing w:after="120" w:line="300"/>
        <w:jc w:val="both"/>
      </w:pPr>
      <w:r>
        <w:rPr>
          <w:rFonts w:ascii="游明朝" w:cs="游明朝" w:eastAsia="游明朝" w:hAnsi="游明朝"/>
          <w:color w:val="262626"/>
          <w:sz w:val="21"/>
          <w:szCs w:val="21"/>
        </w:rPr>
        <w:t xml:space="preserve">国の標準的な算定は、計画期間（3年）の総費用から第1号被保険者の負担額を求め、これを予定収納率と所得段階補正後の被保険者数で按分する2段階構造である。式に表すと次のとおり。</w:t>
      </w:r>
    </w:p>
    <w:p>
      <w:pPr>
        <w:pBdr>
          <w:top w:val="single" w:color="2E75B6" w:sz="6" w:space="6"/>
          <w:bottom w:val="single" w:color="2E75B6" w:sz="6" w:space="6"/>
        </w:pBdr>
        <w:shd w:fill="F2F2F2" w:val="clear"/>
        <w:spacing w:after="120" w:before="80"/>
      </w:pPr>
      <w:r>
        <w:rPr>
          <w:rFonts w:ascii="游ゴシック" w:cs="游ゴシック" w:eastAsia="游ゴシック" w:hAnsi="游ゴシック"/>
          <w:b/>
          <w:bCs/>
          <w:color w:val="1F3864"/>
          <w:sz w:val="20"/>
          <w:szCs w:val="20"/>
        </w:rPr>
        <w:t xml:space="preserve">保険料基準額（月額）＝ </w:t>
      </w:r>
      <w:r>
        <w:rPr>
          <w:rFonts w:ascii="游明朝" w:cs="游明朝" w:eastAsia="游明朝" w:hAnsi="游明朝"/>
          <w:color w:val="262626"/>
          <w:sz w:val="19"/>
          <w:szCs w:val="19"/>
        </w:rPr>
        <w:t xml:space="preserve">〔(標準給付費＋地域支援事業費)×23％ ＋ 調整交付金相当額(5%) − 調整交付金見込額 − 保険者機能強化交付金 − 準備基金取崩額〕</w:t>
      </w:r>
      <w:r>
        <w:rPr>
          <w:rFonts w:ascii="游ゴシック" w:cs="游ゴシック" w:eastAsia="游ゴシック" w:hAnsi="游ゴシック"/>
          <w:b/>
          <w:bCs/>
          <w:color w:val="1F3864"/>
          <w:sz w:val="20"/>
          <w:szCs w:val="20"/>
        </w:rPr>
        <w:t xml:space="preserve"> ÷ 予定収納率 ÷ 所得段階補正後被保険者数(3年) ÷ 12</w:t>
      </w:r>
    </w:p>
    <w:p>
      <w:pPr>
        <w:spacing w:after="120" w:line="300"/>
        <w:jc w:val="both"/>
      </w:pPr>
      <w:r>
        <w:rPr>
          <w:rFonts w:ascii="游明朝" w:cs="游明朝" w:eastAsia="游明朝" w:hAnsi="游明朝"/>
          <w:b w:val="false"/>
          <w:bCs w:val="false"/>
          <w:i w:val="false"/>
          <w:iCs w:val="false"/>
          <w:color w:val="262626"/>
          <w:sz w:val="21"/>
          <w:szCs w:val="21"/>
        </w:rPr>
        <w:t xml:space="preserve">標準給付費は</w:t>
      </w:r>
      <w:r>
        <w:rPr>
          <w:rFonts w:ascii="游明朝" w:cs="游明朝" w:eastAsia="游明朝" w:hAnsi="游明朝"/>
          <w:b/>
          <w:bCs/>
          <w:i w:val="false"/>
          <w:iCs w:val="false"/>
          <w:color w:val="1F3864"/>
          <w:sz w:val="21"/>
          <w:szCs w:val="21"/>
        </w:rPr>
        <w:t xml:space="preserve">総給付額＋特定入所者介護サービス費＋高額介護サービス費＋高額医療合算＋審査支払手数料</w:t>
      </w:r>
      <w:r>
        <w:rPr>
          <w:rFonts w:ascii="游明朝" w:cs="游明朝" w:eastAsia="游明朝" w:hAnsi="游明朝"/>
          <w:b w:val="false"/>
          <w:bCs w:val="false"/>
          <w:i w:val="false"/>
          <w:iCs w:val="false"/>
          <w:color w:val="262626"/>
          <w:sz w:val="21"/>
          <w:szCs w:val="21"/>
        </w:rPr>
        <w:t xml:space="preserve">の合計、地域支援事業費を加えたものが保険料算定の基礎費用となる（長野市等の公表例で確認）。第1号負担割合23％は全国一律で、第10期も同率である。</w:t>
      </w:r>
    </w:p>
    <w:p>
      <w:pPr>
        <w:pBdr>
          <w:top w:val="single" w:color="BDD7EE" w:sz="2" w:space="4"/>
          <w:left w:val="single" w:color="2E75B6" w:sz="18" w:space="10"/>
          <w:bottom w:val="single" w:color="BDD7EE" w:sz="2" w:space="4"/>
        </w:pBdr>
        <w:shd w:fill="BDD7EE" w:val="clear"/>
        <w:spacing w:after="140" w:before="80"/>
      </w:pPr>
      <w:r>
        <w:rPr>
          <w:rFonts w:ascii="游ゴシック" w:cs="游ゴシック" w:eastAsia="游ゴシック" w:hAnsi="游ゴシック"/>
          <w:b/>
          <w:bCs/>
          <w:color w:val="1F3864"/>
          <w:sz w:val="21"/>
          <w:szCs w:val="21"/>
        </w:rPr>
        <w:t xml:space="preserve">● 調整交付金は「標準5%相当額を加算し、実際の交付見込額を減算する」方式が標準。交付率が5%を下回る保険者は第1号負担が増え、上回る保険者は減る。当社ワークブックはこの正式な方式を実装済み（単純減算ではない）。</w:t>
      </w:r>
    </w:p>
    <w:p>
      <w:pPr>
        <w:pBdr>
          <w:top w:val="single" w:color="1F3864" w:sz="2" w:space="6"/>
          <w:bottom w:val="single" w:color="1F3864" w:sz="2" w:space="6"/>
        </w:pBdr>
        <w:shd w:fill="1F3864" w:val="clear"/>
        <w:spacing w:after="150" w:before="300"/>
      </w:pPr>
      <w:r>
        <w:rPr>
          <w:rFonts w:ascii="游ゴシック" w:cs="游ゴシック" w:eastAsia="游ゴシック" w:hAnsi="游ゴシック"/>
          <w:b/>
          <w:bCs/>
          <w:color w:val="BF9000"/>
          <w:sz w:val="26"/>
          <w:szCs w:val="26"/>
        </w:rPr>
        <w:t xml:space="preserve">  3  </w:t>
      </w:r>
      <w:r>
        <w:rPr>
          <w:rFonts w:ascii="游ゴシック" w:cs="游ゴシック" w:eastAsia="游ゴシック" w:hAnsi="游ゴシック"/>
          <w:b/>
          <w:bCs/>
          <w:color w:val="FFFFFF"/>
          <w:sz w:val="26"/>
          <w:szCs w:val="26"/>
        </w:rPr>
        <w:t xml:space="preserve">川崎町 第9期算定式の検証</w:t>
      </w:r>
    </w:p>
    <w:p>
      <w:pPr>
        <w:pBdr>
          <w:left w:val="single" w:color="2E75B6" w:sz="18" w:space="8"/>
        </w:pBdr>
        <w:spacing w:after="80" w:before="180"/>
      </w:pPr>
      <w:r>
        <w:rPr>
          <w:rFonts w:ascii="游ゴシック" w:cs="游ゴシック" w:eastAsia="游ゴシック" w:hAnsi="游ゴシック"/>
          <w:b/>
          <w:bCs/>
          <w:color w:val="1F3864"/>
          <w:sz w:val="22"/>
          <w:szCs w:val="22"/>
        </w:rPr>
        <w:t xml:space="preserve"> (1) 構成額の逐次検証（再現性）</w:t>
      </w:r>
    </w:p>
    <w:p>
      <w:pPr>
        <w:spacing w:after="40" w:before="80"/>
      </w:pPr>
      <w:r>
        <w:rPr>
          <w:rFonts w:ascii="游ゴシック" w:cs="游ゴシック" w:eastAsia="游ゴシック" w:hAnsi="游ゴシック"/>
          <w:b/>
          <w:bCs/>
          <w:color w:val="1F3864"/>
          <w:sz w:val="20"/>
          <w:szCs w:val="20"/>
        </w:rPr>
        <w:t xml:space="preserve">表　川崎町 第9期 保険料算出の検算（3年計・千円）</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2200"/>
        <w:gridCol w:w="1460"/>
      </w:tblGrid>
      <w:tr>
        <w:trPr>
          <w:tblHeader/>
        </w:trPr>
        <w:tc>
          <w:tcPr>
            <w:tcW w:type="dxa" w:w="37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8"/>
                <w:szCs w:val="18"/>
              </w:rPr>
              <w:t xml:space="preserve">項目</w:t>
            </w:r>
          </w:p>
        </w:tc>
        <w:tc>
          <w:tcPr>
            <w:tcW w:type="dxa" w:w="22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8"/>
                <w:szCs w:val="18"/>
              </w:rPr>
              <w:t xml:space="preserve">計画値</w:t>
            </w:r>
          </w:p>
        </w:tc>
        <w:tc>
          <w:tcPr>
            <w:tcW w:type="dxa" w:w="22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8"/>
                <w:szCs w:val="18"/>
              </w:rPr>
              <w:t xml:space="preserve">当社再計算</w:t>
            </w:r>
          </w:p>
        </w:tc>
        <w:tc>
          <w:tcPr>
            <w:tcW w:type="dxa" w:w="146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8"/>
                <w:szCs w:val="18"/>
              </w:rPr>
              <w:t xml:space="preserve">判定</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標準給付費見込額</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val="false"/>
                <w:bCs w:val="false"/>
                <w:color w:val="262626"/>
                <w:sz w:val="18"/>
                <w:szCs w:val="18"/>
              </w:rPr>
              <w:t xml:space="preserve">3,294,553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val="false"/>
                <w:bCs w:val="false"/>
                <w:color w:val="262626"/>
                <w:sz w:val="18"/>
                <w:szCs w:val="18"/>
              </w:rPr>
              <w:t xml:space="preserve">3,294,553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bCs/>
                <w:color w:val="548235"/>
                <w:sz w:val="18"/>
                <w:szCs w:val="18"/>
              </w:rPr>
              <w:t xml:space="preserve">一致</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第1号負担相当額(23%)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val="false"/>
                <w:bCs w:val="false"/>
                <w:color w:val="262626"/>
                <w:sz w:val="18"/>
                <w:szCs w:val="18"/>
              </w:rPr>
              <w:t xml:space="preserve">778,806</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val="false"/>
                <w:bCs w:val="false"/>
                <w:color w:val="548235"/>
                <w:sz w:val="18"/>
                <w:szCs w:val="18"/>
              </w:rPr>
              <w:t xml:space="preserve">778,806</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bCs/>
                <w:color w:val="548235"/>
                <w:sz w:val="18"/>
                <w:szCs w:val="18"/>
              </w:rPr>
              <w:t xml:space="preserve">一致</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調整交付金相当額(5%)</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val="false"/>
                <w:bCs w:val="false"/>
                <w:color w:val="262626"/>
                <w:sz w:val="18"/>
                <w:szCs w:val="18"/>
              </w:rPr>
              <w:t xml:space="preserve">166,006</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val="false"/>
                <w:bCs w:val="false"/>
                <w:color w:val="262626"/>
                <w:sz w:val="18"/>
                <w:szCs w:val="18"/>
              </w:rPr>
              <w:t xml:space="preserve">166,006</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bCs/>
                <w:color w:val="548235"/>
                <w:sz w:val="18"/>
                <w:szCs w:val="18"/>
              </w:rPr>
              <w:t xml:space="preserve">一致</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調整交付金見込額(3.9%)</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val="false"/>
                <w:bCs w:val="false"/>
                <w:color w:val="262626"/>
                <w:sz w:val="18"/>
                <w:szCs w:val="18"/>
              </w:rPr>
              <w:t xml:space="preserve">129,349</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val="false"/>
                <w:bCs w:val="false"/>
                <w:color w:val="262626"/>
                <w:sz w:val="18"/>
                <w:szCs w:val="18"/>
              </w:rPr>
              <w:t xml:space="preserve">129,349</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bCs/>
                <w:color w:val="548235"/>
                <w:sz w:val="18"/>
                <w:szCs w:val="18"/>
              </w:rPr>
              <w:t xml:space="preserve">一致</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262626"/>
                <w:sz w:val="18"/>
                <w:szCs w:val="18"/>
              </w:rPr>
              <w:t xml:space="preserve">取崩なし収納必要額</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bCs/>
                <w:color w:val="262626"/>
                <w:sz w:val="18"/>
                <w:szCs w:val="18"/>
              </w:rPr>
              <w:t xml:space="preserve">804,663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bCs/>
                <w:color w:val="548235"/>
                <w:sz w:val="18"/>
                <w:szCs w:val="18"/>
              </w:rPr>
              <w:t xml:space="preserve">804,663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bCs/>
                <w:color w:val="548235"/>
                <w:sz w:val="18"/>
                <w:szCs w:val="18"/>
              </w:rPr>
              <w:t xml:space="preserve">一致</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取崩後収納必要額</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val="false"/>
                <w:bCs w:val="false"/>
                <w:color w:val="262626"/>
                <w:sz w:val="18"/>
                <w:szCs w:val="18"/>
              </w:rPr>
              <w:t xml:space="preserve">712,663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val="false"/>
                <w:bCs w:val="false"/>
                <w:color w:val="C00000"/>
                <w:sz w:val="18"/>
                <w:szCs w:val="18"/>
              </w:rPr>
              <w:t xml:space="preserve">726,663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bCs/>
                <w:color w:val="C00000"/>
                <w:sz w:val="18"/>
                <w:szCs w:val="18"/>
              </w:rPr>
              <w:t xml:space="preserve">△14,000</w:t>
            </w:r>
          </w:p>
        </w:tc>
      </w:tr>
      <w:tr>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262626"/>
                <w:sz w:val="18"/>
                <w:szCs w:val="18"/>
              </w:rPr>
              <w:t xml:space="preserve">基準額(月額)</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bCs/>
                <w:color w:val="262626"/>
                <w:sz w:val="18"/>
                <w:szCs w:val="18"/>
              </w:rPr>
              <w:t xml:space="preserve">6,508円</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right"/>
            </w:pPr>
            <w:r>
              <w:rPr>
                <w:rFonts w:ascii="游明朝" w:cs="游明朝" w:eastAsia="游明朝" w:hAnsi="游明朝"/>
                <w:b/>
                <w:bCs/>
                <w:color w:val="262626"/>
                <w:sz w:val="18"/>
                <w:szCs w:val="18"/>
              </w:rPr>
              <w:t xml:space="preserve">約6,650円</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bCs/>
                <w:color w:val="C55A11"/>
                <w:sz w:val="18"/>
                <w:szCs w:val="18"/>
              </w:rPr>
              <w:t xml:space="preserve">±2%</w:t>
            </w:r>
          </w:p>
        </w:tc>
      </w:tr>
    </w:tbl>
    <w:p>
      <w:pPr>
        <w:pBdr>
          <w:left w:val="single" w:color="548235" w:sz="18" w:space="10"/>
        </w:pBdr>
        <w:shd w:fill="E2EFDA" w:val="clear"/>
        <w:spacing w:after="120" w:before="80"/>
      </w:pPr>
      <w:r>
        <w:rPr>
          <w:rFonts w:ascii="游ゴシック" w:cs="游ゴシック" w:eastAsia="游ゴシック" w:hAnsi="游ゴシック"/>
          <w:b/>
          <w:bCs/>
          <w:color w:val="548235"/>
          <w:sz w:val="21"/>
          <w:szCs w:val="21"/>
        </w:rPr>
        <w:t xml:space="preserve">✓ 検証OK：</w:t>
      </w:r>
      <w:r>
        <w:rPr>
          <w:rFonts w:ascii="游明朝" w:cs="游明朝" w:eastAsia="游明朝" w:hAnsi="游明朝"/>
          <w:color w:val="262626"/>
          <w:sz w:val="21"/>
          <w:szCs w:val="21"/>
        </w:rPr>
        <w:t xml:space="preserve">第1号負担相当額（778,806千円）と取崩なし収納必要額（804,663千円）は計画値と完全一致。算定式の構造（23%、調整交付金の加減算、機能強化交付金）は正しい。</w:t>
      </w:r>
    </w:p>
    <w:p>
      <w:pPr>
        <w:pBdr>
          <w:top w:val="single" w:color="FCE4D6" w:sz="2" w:space="4"/>
          <w:left w:val="single" w:color="C55A11" w:sz="22" w:space="10"/>
          <w:bottom w:val="single" w:color="FCE4D6" w:sz="2" w:space="4"/>
        </w:pBdr>
        <w:shd w:fill="FCE4D6" w:val="clear"/>
        <w:spacing w:after="140" w:before="100"/>
      </w:pPr>
      <w:r>
        <w:rPr>
          <w:rFonts w:ascii="游ゴシック" w:cs="游ゴシック" w:eastAsia="游ゴシック" w:hAnsi="游ゴシック"/>
          <w:b/>
          <w:bCs/>
          <w:color w:val="C55A11"/>
          <w:sz w:val="21"/>
          <w:szCs w:val="21"/>
        </w:rPr>
        <w:t xml:space="preserve">◆ 発見2：</w:t>
      </w:r>
      <w:r>
        <w:rPr>
          <w:rFonts w:ascii="游ゴシック" w:cs="游ゴシック" w:eastAsia="游ゴシック" w:hAnsi="游ゴシック"/>
          <w:b/>
          <w:bCs/>
          <w:color w:val="1F3864"/>
          <w:sz w:val="21"/>
          <w:szCs w:val="21"/>
        </w:rPr>
        <w:t xml:space="preserve">取崩なし収納必要額804,663千円から取崩額78,000千円を引くと726,663千円だが、計画書は取崩後を712,663千円と記載（差14,000千円）。これは過年度精算・第2号繰越・端数調整等、標準8ステップに現れない項目と推察される。基準額の再現が±2%に留まる主因でもあり、町の算定ワークシートで確認が必要。</w:t>
      </w:r>
    </w:p>
    <w:p>
      <w:pPr>
        <w:pBdr>
          <w:left w:val="single" w:color="2E75B6" w:sz="18" w:space="8"/>
        </w:pBdr>
        <w:spacing w:after="80" w:before="180"/>
      </w:pPr>
      <w:r>
        <w:rPr>
          <w:rFonts w:ascii="游ゴシック" w:cs="游ゴシック" w:eastAsia="游ゴシック" w:hAnsi="游ゴシック"/>
          <w:b/>
          <w:bCs/>
          <w:color w:val="1F3864"/>
          <w:sz w:val="22"/>
          <w:szCs w:val="22"/>
        </w:rPr>
        <w:t xml:space="preserve"> (2) 補正係数（所得段階別の加重平均料率）</w:t>
      </w:r>
    </w:p>
    <w:p>
      <w:pPr>
        <w:spacing w:after="120" w:line="300"/>
        <w:jc w:val="both"/>
      </w:pPr>
      <w:r>
        <w:rPr>
          <w:rFonts w:ascii="游明朝" w:cs="游明朝" w:eastAsia="游明朝" w:hAnsi="游明朝"/>
          <w:b w:val="false"/>
          <w:bCs w:val="false"/>
          <w:i w:val="false"/>
          <w:iCs w:val="false"/>
          <w:color w:val="262626"/>
          <w:sz w:val="21"/>
          <w:szCs w:val="21"/>
        </w:rPr>
        <w:t xml:space="preserve">基準額の按分では、被保険者数を所得段階別の料率で加重した「補正後被保険者数」で割る。川崎町は非課税層が約30%（第1〜3段階・料率0.285〜0.685）と多いため、加重平均料率は1.0を下回る。第9期計画の基準額（6,508円）・取崩後収納必要額・収納率から逆算すると</w:t>
      </w:r>
      <w:r>
        <w:rPr>
          <w:rFonts w:ascii="游明朝" w:cs="游明朝" w:eastAsia="游明朝" w:hAnsi="游明朝"/>
          <w:b/>
          <w:bCs/>
          <w:i w:val="false"/>
          <w:iCs w:val="false"/>
          <w:color w:val="C00000"/>
          <w:sz w:val="21"/>
          <w:szCs w:val="21"/>
        </w:rPr>
        <w:t xml:space="preserve">実効補正係数は約0.96〜0.98</w:t>
      </w:r>
      <w:r>
        <w:rPr>
          <w:rFonts w:ascii="游明朝" w:cs="游明朝" w:eastAsia="游明朝" w:hAnsi="游明朝"/>
          <w:b w:val="false"/>
          <w:bCs w:val="false"/>
          <w:i w:val="false"/>
          <w:iCs w:val="false"/>
          <w:color w:val="262626"/>
          <w:sz w:val="21"/>
          <w:szCs w:val="21"/>
        </w:rPr>
        <w:t xml:space="preserve">となる。</w:t>
      </w:r>
    </w:p>
    <w:p>
      <w:pPr>
        <w:pBdr>
          <w:top w:val="single" w:color="FCE4D6" w:sz="2" w:space="4"/>
          <w:left w:val="single" w:color="C55A11" w:sz="22" w:space="10"/>
          <w:bottom w:val="single" w:color="FCE4D6" w:sz="2" w:space="4"/>
        </w:pBdr>
        <w:shd w:fill="FCE4D6" w:val="clear"/>
        <w:spacing w:after="140" w:before="100"/>
      </w:pPr>
      <w:r>
        <w:rPr>
          <w:rFonts w:ascii="游ゴシック" w:cs="游ゴシック" w:eastAsia="游ゴシック" w:hAnsi="游ゴシック"/>
          <w:b/>
          <w:bCs/>
          <w:color w:val="C55A11"/>
          <w:sz w:val="21"/>
          <w:szCs w:val="21"/>
        </w:rPr>
        <w:t xml:space="preserve">◆ 発見1：</w:t>
      </w:r>
      <w:r>
        <w:rPr>
          <w:rFonts w:ascii="游ゴシック" w:cs="游ゴシック" w:eastAsia="游ゴシック" w:hAnsi="游ゴシック"/>
          <w:b/>
          <w:bCs/>
          <w:color w:val="1F3864"/>
          <w:sz w:val="21"/>
          <w:szCs w:val="21"/>
        </w:rPr>
        <w:t xml:space="preserve">当社ワークブックは補正係数を暫定1.0としていたが、これは基準額を約3〜4%過小評価する。第9期実効値の中点0.97に補正した結果、第10期基準額の8ステップ算定値が当社の長期推計レポート（取崩なし7,641円）とほぼ一致した（下表）。</w:t>
      </w:r>
    </w:p>
    <w:p>
      <w:pPr>
        <w:pBdr>
          <w:left w:val="single" w:color="2E75B6" w:sz="18" w:space="8"/>
        </w:pBdr>
        <w:spacing w:after="80" w:before="180"/>
      </w:pPr>
      <w:r>
        <w:rPr>
          <w:rFonts w:ascii="游ゴシック" w:cs="游ゴシック" w:eastAsia="游ゴシック" w:hAnsi="游ゴシック"/>
          <w:b/>
          <w:bCs/>
          <w:color w:val="1F3864"/>
          <w:sz w:val="22"/>
          <w:szCs w:val="22"/>
        </w:rPr>
        <w:t xml:space="preserve"> (3) 調整交付金見込率の妥当性</w:t>
      </w:r>
    </w:p>
    <w:p>
      <w:pPr>
        <w:spacing w:after="120" w:line="300"/>
        <w:jc w:val="both"/>
      </w:pPr>
      <w:r>
        <w:rPr>
          <w:rFonts w:ascii="游明朝" w:cs="游明朝" w:eastAsia="游明朝" w:hAnsi="游明朝"/>
          <w:b w:val="false"/>
          <w:bCs w:val="false"/>
          <w:i w:val="false"/>
          <w:iCs w:val="false"/>
          <w:color w:val="262626"/>
          <w:sz w:val="21"/>
          <w:szCs w:val="21"/>
        </w:rPr>
        <w:t xml:space="preserve">国の普通調整交付金は、後期高齢者加入割合と所得段階分布で傾斜配分される。後期高齢化が進み低所得層が多い保険者ほど交付率は高くなる（国はR6改定で所得段階補正を標準13段階化し調整機能を強化）。川崎町は高齢化率42%・後期高齢者割合51.6%・非課税層30%と、</w:t>
      </w:r>
      <w:r>
        <w:rPr>
          <w:rFonts w:ascii="游明朝" w:cs="游明朝" w:eastAsia="游明朝" w:hAnsi="游明朝"/>
          <w:b/>
          <w:bCs/>
          <w:i w:val="false"/>
          <w:iCs w:val="false"/>
          <w:color w:val="1F3864"/>
          <w:sz w:val="21"/>
          <w:szCs w:val="21"/>
        </w:rPr>
        <w:t xml:space="preserve">本来は5%超の交付が見込まれる属性</w:t>
      </w:r>
      <w:r>
        <w:rPr>
          <w:rFonts w:ascii="游明朝" w:cs="游明朝" w:eastAsia="游明朝" w:hAnsi="游明朝"/>
          <w:b w:val="false"/>
          <w:bCs w:val="false"/>
          <w:i w:val="false"/>
          <w:iCs w:val="false"/>
          <w:color w:val="262626"/>
          <w:sz w:val="21"/>
          <w:szCs w:val="21"/>
        </w:rPr>
        <w:t xml:space="preserve">だが、第9期計画の見込額は約3.9%と標準5%を下回っている。</w:t>
      </w:r>
    </w:p>
    <w:p>
      <w:pPr>
        <w:pBdr>
          <w:top w:val="single" w:color="FCE4D6" w:sz="2" w:space="4"/>
          <w:left w:val="single" w:color="C55A11" w:sz="22" w:space="10"/>
          <w:bottom w:val="single" w:color="FCE4D6" w:sz="2" w:space="4"/>
        </w:pBdr>
        <w:shd w:fill="FCE4D6" w:val="clear"/>
        <w:spacing w:after="140" w:before="100"/>
      </w:pPr>
      <w:r>
        <w:rPr>
          <w:rFonts w:ascii="游ゴシック" w:cs="游ゴシック" w:eastAsia="游ゴシック" w:hAnsi="游ゴシック"/>
          <w:b/>
          <w:bCs/>
          <w:color w:val="C55A11"/>
          <w:sz w:val="21"/>
          <w:szCs w:val="21"/>
        </w:rPr>
        <w:t xml:space="preserve">◆ 発見3：</w:t>
      </w:r>
      <w:r>
        <w:rPr>
          <w:rFonts w:ascii="游ゴシック" w:cs="游ゴシック" w:eastAsia="游ゴシック" w:hAnsi="游ゴシック"/>
          <w:b/>
          <w:bCs/>
          <w:color w:val="1F3864"/>
          <w:sz w:val="21"/>
          <w:szCs w:val="21"/>
        </w:rPr>
        <w:t xml:space="preserve">川崎町の調整交付金見込率3.9%は、属性から期待される水準より低い可能性がある。一人当たり給付費が全国平均を下回ること等が要因とも考えられるが、実際の交付実績（介護保険事業状況報告）の確認を推奨する。仮に5%なら第10期基準額は約4%低下し、発見1（補正係数）の引上げ分とほぼ相殺する。</w:t>
      </w:r>
    </w:p>
    <w:p>
      <w:pPr>
        <w:pBdr>
          <w:top w:val="single" w:color="1F3864" w:sz="2" w:space="6"/>
          <w:bottom w:val="single" w:color="1F3864" w:sz="2" w:space="6"/>
        </w:pBdr>
        <w:shd w:fill="1F3864" w:val="clear"/>
        <w:spacing w:after="150" w:before="300"/>
      </w:pPr>
      <w:r>
        <w:rPr>
          <w:rFonts w:ascii="游ゴシック" w:cs="游ゴシック" w:eastAsia="游ゴシック" w:hAnsi="游ゴシック"/>
          <w:b/>
          <w:bCs/>
          <w:color w:val="BF9000"/>
          <w:sz w:val="26"/>
          <w:szCs w:val="26"/>
        </w:rPr>
        <w:t xml:space="preserve">  4  </w:t>
      </w:r>
      <w:r>
        <w:rPr>
          <w:rFonts w:ascii="游ゴシック" w:cs="游ゴシック" w:eastAsia="游ゴシック" w:hAnsi="游ゴシック"/>
          <w:b/>
          <w:bCs/>
          <w:color w:val="FFFFFF"/>
          <w:sz w:val="26"/>
          <w:szCs w:val="26"/>
        </w:rPr>
        <w:t xml:space="preserve">金ケ崎町 第9期算定式の検証</w:t>
      </w:r>
    </w:p>
    <w:p>
      <w:pPr>
        <w:spacing w:after="120" w:line="300"/>
        <w:jc w:val="both"/>
      </w:pPr>
      <w:r>
        <w:rPr>
          <w:rFonts w:ascii="游明朝" w:cs="游明朝" w:eastAsia="游明朝" w:hAnsi="游明朝"/>
          <w:b w:val="false"/>
          <w:bCs w:val="false"/>
          <w:i w:val="false"/>
          <w:iCs w:val="false"/>
          <w:color w:val="262626"/>
          <w:sz w:val="21"/>
          <w:szCs w:val="21"/>
        </w:rPr>
        <w:t xml:space="preserve">金ケ崎町の第9期保険料は、第8期5,100円から</w:t>
      </w:r>
      <w:r>
        <w:rPr>
          <w:rFonts w:ascii="游明朝" w:cs="游明朝" w:eastAsia="游明朝" w:hAnsi="游明朝"/>
          <w:b/>
          <w:bCs/>
          <w:i w:val="false"/>
          <w:iCs w:val="false"/>
          <w:color w:val="548235"/>
          <w:sz w:val="21"/>
          <w:szCs w:val="21"/>
        </w:rPr>
        <w:t xml:space="preserve">4,900円へ3.9%引下げ</w:t>
      </w:r>
      <w:r>
        <w:rPr>
          <w:rFonts w:ascii="游明朝" w:cs="游明朝" w:eastAsia="游明朝" w:hAnsi="游明朝"/>
          <w:b w:val="false"/>
          <w:bCs w:val="false"/>
          <w:i w:val="false"/>
          <w:iCs w:val="false"/>
          <w:color w:val="262626"/>
          <w:sz w:val="21"/>
          <w:szCs w:val="21"/>
        </w:rPr>
        <w:t xml:space="preserve">（厚生労働省 全国一覧で確認）。人口減少局面で給付費の上方圧力がある中での引下げは、</w:t>
      </w:r>
      <w:r>
        <w:rPr>
          <w:rFonts w:ascii="游明朝" w:cs="游明朝" w:eastAsia="游明朝" w:hAnsi="游明朝"/>
          <w:b/>
          <w:bCs/>
          <w:i w:val="false"/>
          <w:iCs w:val="false"/>
          <w:color w:val="1F3864"/>
          <w:sz w:val="21"/>
          <w:szCs w:val="21"/>
        </w:rPr>
        <w:t xml:space="preserve">介護給付費準備基金の取崩しによる抑制</w:t>
      </w:r>
      <w:r>
        <w:rPr>
          <w:rFonts w:ascii="游明朝" w:cs="游明朝" w:eastAsia="游明朝" w:hAnsi="游明朝"/>
          <w:b w:val="false"/>
          <w:bCs w:val="false"/>
          <w:i w:val="false"/>
          <w:iCs w:val="false"/>
          <w:color w:val="262626"/>
          <w:sz w:val="21"/>
          <w:szCs w:val="21"/>
        </w:rPr>
        <w:t xml:space="preserve">で実現したものであり、川崎町（基金78,000千円取崩で6,500円を維持）と同じ構造である。</w:t>
      </w:r>
    </w:p>
    <w:p>
      <w:pPr>
        <w:pBdr>
          <w:top w:val="single" w:color="BDD7EE" w:sz="2" w:space="4"/>
          <w:left w:val="single" w:color="2E75B6" w:sz="18" w:space="10"/>
          <w:bottom w:val="single" w:color="BDD7EE" w:sz="2" w:space="4"/>
        </w:pBdr>
        <w:shd w:fill="BDD7EE" w:val="clear"/>
        <w:spacing w:after="140" w:before="80"/>
      </w:pPr>
      <w:r>
        <w:rPr>
          <w:rFonts w:ascii="游ゴシック" w:cs="游ゴシック" w:eastAsia="游ゴシック" w:hAnsi="游ゴシック"/>
          <w:b/>
          <w:bCs/>
          <w:color w:val="1F3864"/>
          <w:sz w:val="21"/>
          <w:szCs w:val="21"/>
        </w:rPr>
        <w:t xml:space="preserve">● 両町とも『前回は基金取崩しで保険料を抑えた』点が共通。第10期は基金の取崩余地が縮小するため、給付費が横ばい〜微増でも基準額に上昇圧力がかかる——この構造は両町に共通する。</w:t>
      </w:r>
    </w:p>
    <w:p>
      <w:pPr>
        <w:spacing w:after="120"/>
      </w:pPr>
      <w:r>
        <w:rPr>
          <w:rFonts w:ascii="游明朝" w:cs="游明朝" w:eastAsia="游明朝" w:hAnsi="游明朝"/>
          <w:i/>
          <w:iCs/>
          <w:color w:val="808080"/>
          <w:sz w:val="17"/>
          <w:szCs w:val="17"/>
        </w:rPr>
        <w:t xml:space="preserve">※ 金ケ崎町第9期計画の保険料算出表（標準給付費・調整交付金・基金残高の内訳）は当該計画書原本が必要。基準額4,900円・引下げ幅・基金活用という骨格は確認済みだが、構成額の逐次検証には第9期計画書 第6〜7章の保険料算出ページの取得を推奨する。</w:t>
      </w:r>
    </w:p>
    <w:p>
      <w:pPr>
        <w:spacing w:after="120" w:line="300"/>
        <w:jc w:val="both"/>
      </w:pPr>
      <w:r>
        <w:rPr>
          <w:rFonts w:ascii="游明朝" w:cs="游明朝" w:eastAsia="游明朝" w:hAnsi="游明朝"/>
          <w:b w:val="false"/>
          <w:bCs w:val="false"/>
          <w:i w:val="false"/>
          <w:iCs w:val="false"/>
          <w:color w:val="262626"/>
          <w:sz w:val="21"/>
          <w:szCs w:val="21"/>
        </w:rPr>
        <w:t xml:space="preserve">なお当社の金ケ崎町 長期推計分析は、社人研R5推計の確定値（高齢者人口は現在付近がピーク、高齢化率は約32%台で頭打ち、認定率は16.4→18.9%へ上昇）と、4,900円据置時の基金枯渇試算（仮定を明示した参考試算）に基づいており、本精査の算定式の確認と矛盾しない。</w:t>
      </w:r>
    </w:p>
    <w:p>
      <w:pPr>
        <w:pBdr>
          <w:top w:val="single" w:color="1F3864" w:sz="2" w:space="6"/>
          <w:bottom w:val="single" w:color="1F3864" w:sz="2" w:space="6"/>
        </w:pBdr>
        <w:shd w:fill="1F3864" w:val="clear"/>
        <w:spacing w:after="150" w:before="300"/>
      </w:pPr>
      <w:r>
        <w:rPr>
          <w:rFonts w:ascii="游ゴシック" w:cs="游ゴシック" w:eastAsia="游ゴシック" w:hAnsi="游ゴシック"/>
          <w:b/>
          <w:bCs/>
          <w:color w:val="BF9000"/>
          <w:sz w:val="26"/>
          <w:szCs w:val="26"/>
        </w:rPr>
        <w:t xml:space="preserve">  5  </w:t>
      </w:r>
      <w:r>
        <w:rPr>
          <w:rFonts w:ascii="游ゴシック" w:cs="游ゴシック" w:eastAsia="游ゴシック" w:hAnsi="游ゴシック"/>
          <w:b/>
          <w:bCs/>
          <w:color w:val="FFFFFF"/>
          <w:sz w:val="26"/>
          <w:szCs w:val="26"/>
        </w:rPr>
        <w:t xml:space="preserve">給付費算定の検証</w:t>
      </w:r>
    </w:p>
    <w:p>
      <w:pPr>
        <w:pBdr>
          <w:left w:val="single" w:color="2E75B6" w:sz="18" w:space="8"/>
        </w:pBdr>
        <w:spacing w:after="80" w:before="180"/>
      </w:pPr>
      <w:r>
        <w:rPr>
          <w:rFonts w:ascii="游ゴシック" w:cs="游ゴシック" w:eastAsia="游ゴシック" w:hAnsi="游ゴシック"/>
          <w:b/>
          <w:bCs/>
          <w:color w:val="1F3864"/>
          <w:sz w:val="22"/>
          <w:szCs w:val="22"/>
        </w:rPr>
        <w:t xml:space="preserve"> (1) 標準給付費の定義</w:t>
      </w:r>
    </w:p>
    <w:p>
      <w:pPr>
        <w:pBdr>
          <w:left w:val="single" w:color="548235" w:sz="18" w:space="10"/>
        </w:pBdr>
        <w:shd w:fill="E2EFDA" w:val="clear"/>
        <w:spacing w:after="120" w:before="80"/>
      </w:pPr>
      <w:r>
        <w:rPr>
          <w:rFonts w:ascii="游ゴシック" w:cs="游ゴシック" w:eastAsia="游ゴシック" w:hAnsi="游ゴシック"/>
          <w:b/>
          <w:bCs/>
          <w:color w:val="548235"/>
          <w:sz w:val="21"/>
          <w:szCs w:val="21"/>
        </w:rPr>
        <w:t xml:space="preserve">✓ 検証OK：</w:t>
      </w:r>
      <w:r>
        <w:rPr>
          <w:rFonts w:ascii="游明朝" w:cs="游明朝" w:eastAsia="游明朝" w:hAnsi="游明朝"/>
          <w:color w:val="262626"/>
          <w:sz w:val="21"/>
          <w:szCs w:val="21"/>
        </w:rPr>
        <w:t xml:space="preserve">当社ワークブックは「総給付額（居宅・地域密着・施設・住宅改修）＋補完項目（特定入所者・高額介護・高額医療合算・審査手数料）＝標準給付費見込額」の定義を採用しており、川崎町第9期計画の標準給付費（R8単年=1,103,536千円）と一致する。総給付額のみで止めると約8%過小評価となるため、補完項目を加える本定義が正しい。</w:t>
      </w:r>
    </w:p>
    <w:p>
      <w:pPr>
        <w:pBdr>
          <w:left w:val="single" w:color="2E75B6" w:sz="18" w:space="8"/>
        </w:pBdr>
        <w:spacing w:after="80" w:before="180"/>
      </w:pPr>
      <w:r>
        <w:rPr>
          <w:rFonts w:ascii="游ゴシック" w:cs="游ゴシック" w:eastAsia="游ゴシック" w:hAnsi="游ゴシック"/>
          <w:b/>
          <w:bCs/>
          <w:color w:val="1F3864"/>
          <w:sz w:val="22"/>
          <w:szCs w:val="22"/>
        </w:rPr>
        <w:t xml:space="preserve"> (2) 給付費の伸び率（介護報酬改定）</w:t>
      </w:r>
    </w:p>
    <w:p>
      <w:pPr>
        <w:spacing w:after="120" w:line="300"/>
        <w:jc w:val="both"/>
      </w:pPr>
      <w:r>
        <w:rPr>
          <w:rFonts w:ascii="游明朝" w:cs="游明朝" w:eastAsia="游明朝" w:hAnsi="游明朝"/>
          <w:b w:val="false"/>
          <w:bCs w:val="false"/>
          <w:i w:val="false"/>
          <w:iCs w:val="false"/>
          <w:color w:val="262626"/>
          <w:sz w:val="21"/>
          <w:szCs w:val="21"/>
        </w:rPr>
        <w:t xml:space="preserve">第9期は介護報酬改定+1.59%が織り込まれた。第10期（令和9年度〜）は新たな報酬改定が予定されるが改定率は未定である。当社推計は、後期高齢化・重度化・報酬改定を見込み</w:t>
      </w:r>
      <w:r>
        <w:rPr>
          <w:rFonts w:ascii="游明朝" w:cs="游明朝" w:eastAsia="游明朝" w:hAnsi="游明朝"/>
          <w:b/>
          <w:bCs/>
          <w:i w:val="false"/>
          <w:iCs w:val="false"/>
          <w:color w:val="1F3864"/>
          <w:sz w:val="21"/>
          <w:szCs w:val="21"/>
        </w:rPr>
        <w:t xml:space="preserve">年1.2%（低位0.8%〜高位1.8%）</w:t>
      </w:r>
      <w:r>
        <w:rPr>
          <w:rFonts w:ascii="游明朝" w:cs="游明朝" w:eastAsia="游明朝" w:hAnsi="游明朝"/>
          <w:b w:val="false"/>
          <w:bCs w:val="false"/>
          <w:i w:val="false"/>
          <w:iCs w:val="false"/>
          <w:color w:val="262626"/>
          <w:sz w:val="21"/>
          <w:szCs w:val="21"/>
        </w:rPr>
        <w:t xml:space="preserve">を置いている。これは第9期実績の伸び（年約0.4%）より高めで、後期高齢化を反映した保守的設定だが、確定値はアンケート反映後の見込量と国の報酬改定率で精緻化する。</w:t>
      </w:r>
    </w:p>
    <w:p>
      <w:pPr>
        <w:pBdr>
          <w:top w:val="single" w:color="1F3864" w:sz="2" w:space="6"/>
          <w:bottom w:val="single" w:color="1F3864" w:sz="2" w:space="6"/>
        </w:pBdr>
        <w:shd w:fill="1F3864" w:val="clear"/>
        <w:spacing w:after="150" w:before="300"/>
      </w:pPr>
      <w:r>
        <w:rPr>
          <w:rFonts w:ascii="游ゴシック" w:cs="游ゴシック" w:eastAsia="游ゴシック" w:hAnsi="游ゴシック"/>
          <w:b/>
          <w:bCs/>
          <w:color w:val="BF9000"/>
          <w:sz w:val="26"/>
          <w:szCs w:val="26"/>
        </w:rPr>
        <w:t xml:space="preserve">  6  </w:t>
      </w:r>
      <w:r>
        <w:rPr>
          <w:rFonts w:ascii="游ゴシック" w:cs="游ゴシック" w:eastAsia="游ゴシック" w:hAnsi="游ゴシック"/>
          <w:b/>
          <w:bCs/>
          <w:color w:val="FFFFFF"/>
          <w:sz w:val="26"/>
          <w:szCs w:val="26"/>
        </w:rPr>
        <w:t xml:space="preserve">ワークブックへの反映と検証結果</w:t>
      </w:r>
    </w:p>
    <w:p>
      <w:pPr>
        <w:spacing w:after="120" w:line="300"/>
        <w:jc w:val="both"/>
      </w:pPr>
      <w:r>
        <w:rPr>
          <w:rFonts w:ascii="游明朝" w:cs="游明朝" w:eastAsia="游明朝" w:hAnsi="游明朝"/>
          <w:color w:val="262626"/>
          <w:sz w:val="21"/>
          <w:szCs w:val="21"/>
        </w:rPr>
        <w:t xml:space="preserve">精査の結果、ワークブックの補正係数を1.0から第9期実効値0.97へ補正し、調整交付金見込率（3.9%）に交付実績確認を促す注記を追加した。第10期基準額（8ステップ算定）は次のとおりで、当社の長期推計レポートの試算と整合する。</w:t>
      </w:r>
    </w:p>
    <w:p>
      <w:pPr>
        <w:spacing w:after="40" w:before="80"/>
      </w:pPr>
      <w:r>
        <w:rPr>
          <w:rFonts w:ascii="游ゴシック" w:cs="游ゴシック" w:eastAsia="游ゴシック" w:hAnsi="游ゴシック"/>
          <w:b/>
          <w:bCs/>
          <w:color w:val="1F3864"/>
          <w:sz w:val="20"/>
          <w:szCs w:val="20"/>
        </w:rPr>
        <w:t xml:space="preserve">表　第10期 保険料基準額（補正係数0.97・月額）</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2760"/>
      </w:tblGrid>
      <w:tr>
        <w:trPr>
          <w:tblHeader/>
        </w:trPr>
        <w:tc>
          <w:tcPr>
            <w:tcW w:type="dxa" w:w="30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8"/>
                <w:szCs w:val="18"/>
              </w:rPr>
              <w:t xml:space="preserve">パターン</w:t>
            </w:r>
          </w:p>
        </w:tc>
        <w:tc>
          <w:tcPr>
            <w:tcW w:type="dxa" w:w="19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8"/>
                <w:szCs w:val="18"/>
              </w:rPr>
              <w:t xml:space="preserve">補正後(0.97)</w:t>
            </w:r>
          </w:p>
        </w:tc>
        <w:tc>
          <w:tcPr>
            <w:tcW w:type="dxa" w:w="19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8"/>
                <w:szCs w:val="18"/>
              </w:rPr>
              <w:t xml:space="preserve">補正前(1.0)</w:t>
            </w:r>
          </w:p>
        </w:tc>
        <w:tc>
          <w:tcPr>
            <w:tcW w:type="dxa" w:w="276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8"/>
                <w:szCs w:val="18"/>
              </w:rPr>
              <w:t xml:space="preserve">備考</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明朝" w:cs="游明朝" w:eastAsia="游明朝" w:hAnsi="游明朝"/>
                <w:b/>
                <w:bCs/>
                <w:color w:val="262626"/>
                <w:sz w:val="18"/>
                <w:szCs w:val="18"/>
              </w:rPr>
              <w:t xml:space="preserve">（参考）第9期</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bCs/>
                <w:color w:val="262626"/>
                <w:sz w:val="18"/>
                <w:szCs w:val="18"/>
              </w:rPr>
              <w:t xml:space="preserve">6,500円</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8"/>
                <w:szCs w:val="18"/>
              </w:rPr>
              <w:t xml:space="preserve">—</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基金78,000千円取崩で実現</w:t>
            </w:r>
          </w:p>
        </w:tc>
      </w:tr>
      <w:tr>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left"/>
            </w:pPr>
            <w:r>
              <w:rPr>
                <w:rFonts w:ascii="游明朝" w:cs="游明朝" w:eastAsia="游明朝" w:hAnsi="游明朝"/>
                <w:b/>
                <w:bCs/>
                <w:color w:val="C00000"/>
                <w:sz w:val="18"/>
                <w:szCs w:val="18"/>
              </w:rPr>
              <w:t xml:space="preserve">A 取崩なし</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bCs/>
                <w:color w:val="C00000"/>
                <w:sz w:val="18"/>
                <w:szCs w:val="18"/>
              </w:rPr>
              <w:t xml:space="preserve">7,632円</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808080"/>
                <w:sz w:val="18"/>
                <w:szCs w:val="18"/>
              </w:rPr>
              <w:t xml:space="preserve">7,403円</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レポート試算7,641円と一致</w:t>
            </w:r>
          </w:p>
        </w:tc>
      </w:tr>
      <w:tr>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left"/>
            </w:pPr>
            <w:r>
              <w:rPr>
                <w:rFonts w:ascii="游明朝" w:cs="游明朝" w:eastAsia="游明朝" w:hAnsi="游明朝"/>
                <w:b/>
                <w:bCs/>
                <w:color w:val="C55A11"/>
                <w:sz w:val="18"/>
                <w:szCs w:val="18"/>
              </w:rPr>
              <w:t xml:space="preserve">B 50%取崩</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bCs/>
                <w:color w:val="C55A11"/>
                <w:sz w:val="18"/>
                <w:szCs w:val="18"/>
              </w:rPr>
              <w:t xml:space="preserve">7,384円</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808080"/>
                <w:sz w:val="18"/>
                <w:szCs w:val="18"/>
              </w:rPr>
              <w:t xml:space="preserve">7,163円</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中位</w:t>
            </w:r>
          </w:p>
        </w:tc>
      </w:tr>
      <w:tr>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left"/>
            </w:pPr>
            <w:r>
              <w:rPr>
                <w:rFonts w:ascii="游明朝" w:cs="游明朝" w:eastAsia="游明朝" w:hAnsi="游明朝"/>
                <w:b/>
                <w:bCs/>
                <w:color w:val="548235"/>
                <w:sz w:val="18"/>
                <w:szCs w:val="18"/>
              </w:rPr>
              <w:t xml:space="preserve">C 全額取崩</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bCs/>
                <w:color w:val="548235"/>
                <w:sz w:val="18"/>
                <w:szCs w:val="18"/>
              </w:rPr>
              <w:t xml:space="preserve">7,137円</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808080"/>
                <w:sz w:val="18"/>
                <w:szCs w:val="18"/>
              </w:rPr>
              <w:t xml:space="preserve">6,923円</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基金約54百万円取崩</w:t>
            </w:r>
          </w:p>
        </w:tc>
      </w:tr>
    </w:tbl>
    <w:p>
      <w:pPr>
        <w:pBdr>
          <w:top w:val="single" w:color="DEEBF7" w:sz="2" w:space="4"/>
          <w:left w:val="single" w:color="2E75B6" w:sz="18" w:space="10"/>
          <w:bottom w:val="single" w:color="DEEBF7" w:sz="2" w:space="4"/>
        </w:pBdr>
        <w:shd w:fill="DEEBF7" w:val="clear"/>
        <w:spacing w:after="140" w:before="80"/>
      </w:pPr>
      <w:r>
        <w:rPr>
          <w:rFonts w:ascii="游ゴシック" w:cs="游ゴシック" w:eastAsia="游ゴシック" w:hAnsi="游ゴシック"/>
          <w:b/>
          <w:bCs/>
          <w:color w:val="1F3864"/>
          <w:sz w:val="21"/>
          <w:szCs w:val="21"/>
        </w:rPr>
        <w:t xml:space="preserve">● 補正係数の補正（基準額＋約4%）と、調整交付金が5%だった場合の低下（約−4%）は概ね相殺する。第10期基準額の中心は取崩条件に応じ7,100〜7,600円台で、6,500円据置は基金枯渇で維持困難という結論は変わらない。</w:t>
      </w:r>
    </w:p>
    <w:p>
      <w:pPr>
        <w:pBdr>
          <w:top w:val="single" w:color="1F3864" w:sz="2" w:space="6"/>
          <w:bottom w:val="single" w:color="1F3864" w:sz="2" w:space="6"/>
        </w:pBdr>
        <w:shd w:fill="1F3864" w:val="clear"/>
        <w:spacing w:after="150" w:before="300"/>
      </w:pPr>
      <w:r>
        <w:rPr>
          <w:rFonts w:ascii="游ゴシック" w:cs="游ゴシック" w:eastAsia="游ゴシック" w:hAnsi="游ゴシック"/>
          <w:b/>
          <w:bCs/>
          <w:color w:val="BF9000"/>
          <w:sz w:val="26"/>
          <w:szCs w:val="26"/>
        </w:rPr>
        <w:t xml:space="preserve">  7  </w:t>
      </w:r>
      <w:r>
        <w:rPr>
          <w:rFonts w:ascii="游ゴシック" w:cs="游ゴシック" w:eastAsia="游ゴシック" w:hAnsi="游ゴシック"/>
          <w:b/>
          <w:bCs/>
          <w:color w:val="FFFFFF"/>
          <w:sz w:val="26"/>
          <w:szCs w:val="26"/>
        </w:rPr>
        <w:t xml:space="preserve">残課題と委員会説明方針</w:t>
      </w:r>
    </w:p>
    <w:p>
      <w:pPr>
        <w:spacing w:after="40" w:before="80"/>
      </w:pPr>
      <w:r>
        <w:rPr>
          <w:rFonts w:ascii="游ゴシック" w:cs="游ゴシック" w:eastAsia="游ゴシック" w:hAnsi="游ゴシック"/>
          <w:b/>
          <w:bCs/>
          <w:color w:val="1F3864"/>
          <w:sz w:val="20"/>
          <w:szCs w:val="20"/>
        </w:rPr>
        <w:t xml:space="preserve">表　町への確認事項（確定後にワークブックで基準額を確定）</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4460"/>
      </w:tblGrid>
      <w:tr>
        <w:trPr>
          <w:tblHeader/>
        </w:trPr>
        <w:tc>
          <w:tcPr>
            <w:tcW w:type="dxa" w:w="7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8"/>
                <w:szCs w:val="18"/>
              </w:rPr>
              <w:t xml:space="preserve">No</w:t>
            </w:r>
          </w:p>
        </w:tc>
        <w:tc>
          <w:tcPr>
            <w:tcW w:type="dxa" w:w="44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8"/>
                <w:szCs w:val="18"/>
              </w:rPr>
              <w:t xml:space="preserve">確認事項</w:t>
            </w:r>
          </w:p>
        </w:tc>
        <w:tc>
          <w:tcPr>
            <w:tcW w:type="dxa" w:w="446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8"/>
                <w:szCs w:val="18"/>
              </w:rPr>
              <w:t xml:space="preserve">基準額への影響</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8"/>
                <w:szCs w:val="18"/>
              </w:rPr>
              <w:t xml:space="preserve">1</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所得段階別被保険者数（→補正係数の確定）</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補正係数が0.97から動くと比例して増減</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8"/>
                <w:szCs w:val="18"/>
              </w:rPr>
              <w:t xml:space="preserve">2</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調整交付金の交付実績・見込率（5%超か否か）</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5%なら約−4%（補正係数引上げと相殺）</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8"/>
                <w:szCs w:val="18"/>
              </w:rPr>
              <w:t xml:space="preserve">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準備基金残高（R8.6確定値）</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取崩可能額が変動し3パターンが動く</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8"/>
                <w:szCs w:val="18"/>
              </w:rPr>
              <w:t xml:space="preserve">4</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予定収納率（過去5年R4〜R7実績）</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現在は第9期と同じ96%を暫定使用</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8"/>
                <w:szCs w:val="18"/>
              </w:rPr>
              <w:t xml:space="preserve">5</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取崩なし→取崩後の14百万円差の内訳</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過年度精算等。基準額の±2%要因</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8"/>
                <w:szCs w:val="18"/>
              </w:rPr>
              <w:t xml:space="preserve">6</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金ケ崎町 第9期計画の保険料算出表</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8"/>
                <w:szCs w:val="18"/>
              </w:rPr>
              <w:t xml:space="preserve">構成額の逐次検証に必要（原本取得）</w:t>
            </w:r>
          </w:p>
        </w:tc>
      </w:tr>
    </w:tbl>
    <w:p>
      <w:pPr>
        <w:pBdr>
          <w:top w:val="single" w:color="2E75B6" w:sz="6" w:space="6"/>
        </w:pBdr>
        <w:spacing w:before="200"/>
      </w:pPr>
      <w:r>
        <w:rPr>
          <w:rFonts w:ascii="游明朝" w:cs="游明朝" w:eastAsia="游明朝" w:hAnsi="游明朝"/>
          <w:i/>
          <w:iCs/>
          <w:color w:val="808080"/>
          <w:sz w:val="18"/>
          <w:szCs w:val="18"/>
        </w:rPr>
        <w:t xml:space="preserve">総括：保険料・給付費算定の構造は国の標準的方法および川崎町第9期計画と一致することを確認した。精査で見つかった補正係数（修正済）・調整交付金見込率・14百万円差は、いずれも町提供データで確定すべき項目であり、相互に相殺する要因も含むため、第10期基準額の中心推計（取崩条件に応じ7,100〜7,600円台）は頑健である。金ケ崎町は基準額・基金活用の骨格を確認したが、構成額の逐次検証には前回計画書原本の取得を推奨する。</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808080"/>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jc w:val="right"/>
    </w:pPr>
    <w:r>
      <w:rPr>
        <w:rFonts w:ascii="游ゴシック" w:cs="游ゴシック" w:eastAsia="游ゴシック" w:hAnsi="游ゴシック"/>
        <w:color w:val="808080"/>
        <w:sz w:val="15"/>
        <w:szCs w:val="15"/>
      </w:rPr>
      <w:t xml:space="preserve">川崎町・金ケ崎町　給付費・保険料算定の精査レポート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2026-06-30T02:22:03.391Z</dcterms:created>
  <dcterms:modified xsi:type="dcterms:W3CDTF">2026-06-30T02:22:03.391Z</dcterms:modified>
</cp:coreProperties>
</file>

<file path=docProps/custom.xml><?xml version="1.0" encoding="utf-8"?>
<Properties xmlns="http://schemas.openxmlformats.org/officeDocument/2006/custom-properties" xmlns:vt="http://schemas.openxmlformats.org/officeDocument/2006/docPropsVTypes"/>
</file>