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jc w:val="center"/>
      </w:pPr>
      <w:r>
        <w:rPr>
          <w:rFonts w:ascii="游ゴシック" w:cs="游ゴシック" w:eastAsia="游ゴシック" w:hAnsi="游ゴシック"/>
          <w:b/>
          <w:bCs/>
          <w:color w:val="1F3864"/>
          <w:sz w:val="24"/>
          <w:szCs w:val="24"/>
        </w:rPr>
        <w:t xml:space="preserve">川崎町高齢者保健福祉計画・第10期介護保険事業計画</w:t>
      </w:r>
    </w:p>
    <w:p>
      <w:pPr>
        <w:pBdr>
          <w:top w:val="single" w:color="1F3864" w:sz="2" w:space="8"/>
          <w:bottom w:val="single" w:color="1F3864" w:sz="2" w:space="8"/>
        </w:pBdr>
        <w:shd w:fill="1F3864" w:val="clear"/>
        <w:spacing w:after="40"/>
        <w:jc w:val="center"/>
      </w:pPr>
      <w:r>
        <w:rPr>
          <w:rFonts w:ascii="游ゴシック" w:cs="游ゴシック" w:eastAsia="游ゴシック" w:hAnsi="游ゴシック"/>
          <w:b/>
          <w:bCs/>
          <w:color w:val="FFFFFF"/>
          <w:sz w:val="30"/>
          <w:szCs w:val="30"/>
        </w:rPr>
        <w:t xml:space="preserve">介護保険料  県内比較・要因分析・施策妥当性レポート</w:t>
      </w:r>
    </w:p>
    <w:p>
      <w:pPr>
        <w:spacing w:after="20" w:before="120"/>
        <w:jc w:val="center"/>
      </w:pPr>
      <w:r>
        <w:rPr>
          <w:rFonts w:ascii="游明朝" w:cs="游明朝" w:eastAsia="游明朝" w:hAnsi="游明朝"/>
          <w:i/>
          <w:iCs/>
          <w:color w:val="2E75B6"/>
          <w:sz w:val="20"/>
          <w:szCs w:val="20"/>
        </w:rPr>
        <w:t xml:space="preserve">〜 第9期実績ベースによる位置づけ分析と第10期試算への含意 〜</w:t>
      </w:r>
    </w:p>
    <w:p>
      <w:pPr>
        <w:spacing w:after="0" w:before="160"/>
        <w:jc w:val="center"/>
      </w:pPr>
      <w:r>
        <w:rPr>
          <w:rFonts w:ascii="游明朝" w:cs="游明朝" w:eastAsia="游明朝" w:hAnsi="游明朝"/>
          <w:color w:val="808080"/>
          <w:sz w:val="18"/>
          <w:szCs w:val="18"/>
        </w:rPr>
        <w:t xml:space="preserve">令和8年6月　ビズアップ公共コンサルティング株式会社（札幌事業所）</w:t>
      </w:r>
    </w:p>
    <w:p>
      <w:pPr>
        <w:pBdr>
          <w:top w:val="single" w:color="1F3864" w:sz="2" w:space="6"/>
          <w:bottom w:val="single" w:color="1F3864" w:sz="2" w:space="6"/>
        </w:pBdr>
        <w:shd w:fill="1F3864" w:val="clear"/>
        <w:spacing w:after="160" w:before="320"/>
      </w:pPr>
      <w:r>
        <w:rPr>
          <w:rFonts w:ascii="游ゴシック" w:cs="游ゴシック" w:eastAsia="游ゴシック" w:hAnsi="游ゴシック"/>
          <w:b/>
          <w:bCs/>
          <w:color w:val="FFC000"/>
          <w:sz w:val="26"/>
          <w:szCs w:val="26"/>
        </w:rPr>
        <w:t xml:space="preserve">  要旨  </w:t>
      </w:r>
      <w:r>
        <w:rPr>
          <w:rFonts w:ascii="游ゴシック" w:cs="游ゴシック" w:eastAsia="游ゴシック" w:hAnsi="游ゴシック"/>
          <w:b/>
          <w:bCs/>
          <w:color w:val="FFFFFF"/>
          <w:sz w:val="26"/>
          <w:szCs w:val="26"/>
        </w:rPr>
        <w:t xml:space="preserve">本レポートの結論（エグゼクティブ・サマリー）</w:t>
      </w:r>
    </w:p>
    <w:p>
      <w:pPr>
        <w:spacing w:after="120" w:line="300"/>
        <w:jc w:val="both"/>
      </w:pPr>
      <w:r>
        <w:rPr>
          <w:rFonts w:ascii="游明朝" w:cs="游明朝" w:eastAsia="游明朝" w:hAnsi="游明朝"/>
          <w:b w:val="false"/>
          <w:bCs w:val="false"/>
          <w:color w:val="262626"/>
          <w:sz w:val="21"/>
          <w:szCs w:val="21"/>
        </w:rPr>
        <w:t xml:space="preserve">川崎町の第9期介護保険料基準額は</w:t>
      </w:r>
      <w:r>
        <w:rPr>
          <w:rFonts w:ascii="游明朝" w:cs="游明朝" w:eastAsia="游明朝" w:hAnsi="游明朝"/>
          <w:b/>
          <w:bCs/>
          <w:color w:val="1F3864"/>
          <w:sz w:val="21"/>
          <w:szCs w:val="21"/>
        </w:rPr>
        <w:t xml:space="preserve">月額6,500円</w:t>
      </w:r>
      <w:r>
        <w:rPr>
          <w:rFonts w:ascii="游明朝" w:cs="游明朝" w:eastAsia="游明朝" w:hAnsi="游明朝"/>
          <w:b w:val="false"/>
          <w:bCs w:val="false"/>
          <w:color w:val="262626"/>
          <w:sz w:val="21"/>
          <w:szCs w:val="21"/>
        </w:rPr>
        <w:t xml:space="preserve">で、これは宮城県内35市町村中で</w:t>
      </w:r>
      <w:r>
        <w:rPr>
          <w:rFonts w:ascii="游明朝" w:cs="游明朝" w:eastAsia="游明朝" w:hAnsi="游明朝"/>
          <w:b/>
          <w:bCs/>
          <w:color w:val="C55A11"/>
          <w:sz w:val="21"/>
          <w:szCs w:val="21"/>
        </w:rPr>
        <w:t xml:space="preserve">上位グループ（第10〜12位）</w:t>
      </w:r>
      <w:r>
        <w:rPr>
          <w:rFonts w:ascii="游明朝" w:cs="游明朝" w:eastAsia="游明朝" w:hAnsi="游明朝"/>
          <w:b w:val="false"/>
          <w:bCs w:val="false"/>
          <w:color w:val="262626"/>
          <w:sz w:val="21"/>
          <w:szCs w:val="21"/>
        </w:rPr>
        <w:t xml:space="preserve">、県加重平均6,098円を</w:t>
      </w:r>
      <w:r>
        <w:rPr>
          <w:rFonts w:ascii="游明朝" w:cs="游明朝" w:eastAsia="游明朝" w:hAnsi="游明朝"/>
          <w:b/>
          <w:bCs/>
          <w:color w:val="C55A11"/>
          <w:sz w:val="21"/>
          <w:szCs w:val="21"/>
        </w:rPr>
        <w:t xml:space="preserve">+402円上回る水準</w:t>
      </w:r>
      <w:r>
        <w:rPr>
          <w:rFonts w:ascii="游明朝" w:cs="游明朝" w:eastAsia="游明朝" w:hAnsi="游明朝"/>
          <w:b w:val="false"/>
          <w:bCs w:val="false"/>
          <w:color w:val="262626"/>
          <w:sz w:val="21"/>
          <w:szCs w:val="21"/>
        </w:rPr>
        <w:t xml:space="preserve">です。仙南圏域9市町の中では</w:t>
      </w:r>
      <w:r>
        <w:rPr>
          <w:rFonts w:ascii="游明朝" w:cs="游明朝" w:eastAsia="游明朝" w:hAnsi="游明朝"/>
          <w:b/>
          <w:bCs/>
          <w:color w:val="C00000"/>
          <w:sz w:val="21"/>
          <w:szCs w:val="21"/>
        </w:rPr>
        <w:t xml:space="preserve">最高水準タイ</w:t>
      </w:r>
      <w:r>
        <w:rPr>
          <w:rFonts w:ascii="游明朝" w:cs="游明朝" w:eastAsia="游明朝" w:hAnsi="游明朝"/>
          <w:b w:val="false"/>
          <w:bCs w:val="false"/>
          <w:color w:val="262626"/>
          <w:sz w:val="21"/>
          <w:szCs w:val="21"/>
        </w:rPr>
        <w:t xml:space="preserve">（村田町・丸森町と同額）に位置します。一方で第8期からの上昇は</w:t>
      </w:r>
      <w:r>
        <w:rPr>
          <w:rFonts w:ascii="游明朝" w:cs="游明朝" w:eastAsia="游明朝" w:hAnsi="游明朝"/>
          <w:b/>
          <w:bCs/>
          <w:color w:val="548235"/>
          <w:sz w:val="21"/>
          <w:szCs w:val="21"/>
        </w:rPr>
        <w:t xml:space="preserve">+120円（+1.9%）</w:t>
      </w:r>
      <w:r>
        <w:rPr>
          <w:rFonts w:ascii="游明朝" w:cs="游明朝" w:eastAsia="游明朝" w:hAnsi="游明朝"/>
          <w:b w:val="false"/>
          <w:bCs w:val="false"/>
          <w:color w:val="262626"/>
          <w:sz w:val="21"/>
          <w:szCs w:val="21"/>
        </w:rPr>
        <w:t xml:space="preserve">にとどまり、上昇率では県（+2.7%）・全国（+3.5%）を下回る抑制的な伸びでした。</w:t>
      </w:r>
    </w:p>
    <w:p>
      <w:pPr>
        <w:pBdr>
          <w:top w:val="single" w:color="FCE4D6" w:sz="2" w:space="4"/>
          <w:left w:val="single" w:color="C55A11" w:sz="18" w:space="10"/>
          <w:bottom w:val="single" w:color="FCE4D6" w:sz="2" w:space="4"/>
        </w:pBdr>
        <w:shd w:fill="FCE4D6" w:val="clear"/>
        <w:spacing w:after="140" w:before="80"/>
      </w:pPr>
      <w:r>
        <w:rPr>
          <w:rFonts w:ascii="游ゴシック" w:cs="游ゴシック" w:eastAsia="游ゴシック" w:hAnsi="游ゴシック"/>
          <w:b/>
          <w:bCs/>
          <w:color w:val="1F3864"/>
          <w:sz w:val="21"/>
          <w:szCs w:val="21"/>
        </w:rPr>
        <w:t xml:space="preserve">● 「保険料水準（額）」は県内上位、「上昇率（伸び）」は抑制的。この2つは別の指標であり、計画書では明確に区別して記載する必要がある。</w:t>
      </w:r>
    </w:p>
    <w:p>
      <w:pPr>
        <w:spacing w:after="120" w:line="300"/>
        <w:jc w:val="both"/>
      </w:pPr>
      <w:r>
        <w:rPr>
          <w:rFonts w:ascii="游明朝" w:cs="游明朝" w:eastAsia="游明朝" w:hAnsi="游明朝"/>
          <w:b w:val="false"/>
          <w:bCs w:val="false"/>
          <w:color w:val="262626"/>
          <w:sz w:val="21"/>
          <w:szCs w:val="21"/>
        </w:rPr>
        <w:t xml:space="preserve">この上位水準は、</w:t>
      </w:r>
      <w:r>
        <w:rPr>
          <w:rFonts w:ascii="游明朝" w:cs="游明朝" w:eastAsia="游明朝" w:hAnsi="游明朝"/>
          <w:b/>
          <w:bCs/>
          <w:color w:val="262626"/>
          <w:sz w:val="21"/>
          <w:szCs w:val="21"/>
        </w:rPr>
        <w:t xml:space="preserve">高齢化率41.4%（県内5位）・後期高齢者比率51.6%・施設サービス給付比率46.0%</w:t>
      </w:r>
      <w:r>
        <w:rPr>
          <w:rFonts w:ascii="游明朝" w:cs="游明朝" w:eastAsia="游明朝" w:hAnsi="游明朝"/>
          <w:b w:val="false"/>
          <w:bCs w:val="false"/>
          <w:color w:val="262626"/>
          <w:sz w:val="21"/>
          <w:szCs w:val="21"/>
        </w:rPr>
        <w:t xml:space="preserve">という構造的要因と整合的であり、保険者努力の不足を示すものではありません。むしろ介護予防・基金活用・高収納率により上昇を抑え込んできた結果と評価できます。第10期に向けては、</w:t>
      </w:r>
      <w:r>
        <w:rPr>
          <w:rFonts w:ascii="游明朝" w:cs="游明朝" w:eastAsia="游明朝" w:hAnsi="游明朝"/>
          <w:b/>
          <w:bCs/>
          <w:color w:val="C00000"/>
          <w:sz w:val="21"/>
          <w:szCs w:val="21"/>
        </w:rPr>
        <w:t xml:space="preserve">「県平均・県内最低水準」といった断定的表現を避け</w:t>
      </w:r>
      <w:r>
        <w:rPr>
          <w:rFonts w:ascii="游明朝" w:cs="游明朝" w:eastAsia="游明朝" w:hAnsi="游明朝"/>
          <w:b w:val="false"/>
          <w:bCs w:val="false"/>
          <w:color w:val="262626"/>
          <w:sz w:val="21"/>
          <w:szCs w:val="21"/>
        </w:rPr>
        <w:t xml:space="preserve">、高齢化度に見合った妥当な水準であることを構造的に説明する方針を推奨します。</w:t>
      </w:r>
    </w:p>
    <w:p>
      <w:pPr>
        <w:pBdr>
          <w:top w:val="single" w:color="1F3864" w:sz="2" w:space="6"/>
          <w:bottom w:val="single" w:color="1F3864" w:sz="2" w:space="6"/>
        </w:pBdr>
        <w:shd w:fill="1F3864" w:val="clear"/>
        <w:spacing w:after="160" w:before="320"/>
      </w:pPr>
      <w:r>
        <w:rPr>
          <w:rFonts w:ascii="游ゴシック" w:cs="游ゴシック" w:eastAsia="游ゴシック" w:hAnsi="游ゴシック"/>
          <w:b/>
          <w:bCs/>
          <w:color w:val="FFC000"/>
          <w:sz w:val="26"/>
          <w:szCs w:val="26"/>
        </w:rPr>
        <w:t xml:space="preserve">  1  </w:t>
      </w:r>
      <w:r>
        <w:rPr>
          <w:rFonts w:ascii="游ゴシック" w:cs="游ゴシック" w:eastAsia="游ゴシック" w:hAnsi="游ゴシック"/>
          <w:b/>
          <w:bCs/>
          <w:color w:val="FFFFFF"/>
          <w:sz w:val="26"/>
          <w:szCs w:val="26"/>
        </w:rPr>
        <w:t xml:space="preserve">分析の目的とデータ前提</w:t>
      </w:r>
    </w:p>
    <w:p>
      <w:pPr>
        <w:pBdr>
          <w:left w:val="single" w:color="2E75B6" w:sz="18" w:space="8"/>
        </w:pBdr>
        <w:spacing w:after="100" w:before="220"/>
      </w:pPr>
      <w:r>
        <w:rPr>
          <w:rFonts w:ascii="游ゴシック" w:cs="游ゴシック" w:eastAsia="游ゴシック" w:hAnsi="游ゴシック"/>
          <w:b/>
          <w:bCs/>
          <w:color w:val="1F3864"/>
          <w:sz w:val="23"/>
          <w:szCs w:val="23"/>
        </w:rPr>
        <w:t xml:space="preserve"> 目的</w:t>
      </w:r>
    </w:p>
    <w:p>
      <w:pPr>
        <w:spacing w:after="120" w:line="300"/>
        <w:jc w:val="both"/>
      </w:pPr>
      <w:r>
        <w:rPr>
          <w:rFonts w:ascii="游明朝" w:cs="游明朝" w:eastAsia="游明朝" w:hAnsi="游明朝"/>
          <w:color w:val="262626"/>
          <w:sz w:val="21"/>
          <w:szCs w:val="21"/>
        </w:rPr>
        <w:t xml:space="preserve">本レポートは、第10期保険料試算（第7章 7-3）の前提整理として、川崎町の第9期保険料を宮城県内・仙南圏域の他団体と比較し、その水準の位置づけ・要因・施策の妥当性を分析するものです。第1回〜第3回策定委員会での説明材料、及び計画書本文（第7章）の記述精緻化に用います。</w:t>
      </w:r>
    </w:p>
    <w:p>
      <w:pPr>
        <w:pBdr>
          <w:left w:val="single" w:color="2E75B6" w:sz="18" w:space="8"/>
        </w:pBdr>
        <w:spacing w:after="100" w:before="220"/>
      </w:pPr>
      <w:r>
        <w:rPr>
          <w:rFonts w:ascii="游ゴシック" w:cs="游ゴシック" w:eastAsia="游ゴシック" w:hAnsi="游ゴシック"/>
          <w:b/>
          <w:bCs/>
          <w:color w:val="1F3864"/>
          <w:sz w:val="23"/>
          <w:szCs w:val="23"/>
        </w:rPr>
        <w:t xml:space="preserve"> 使用データの出典</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400"/>
        <w:gridCol w:w="4400"/>
        <w:gridCol w:w="3000"/>
      </w:tblGrid>
      <w:tr>
        <w:trPr>
          <w:tblHeader/>
        </w:trPr>
        <w:tc>
          <w:tcPr>
            <w:tcW w:type="dxa" w:w="1400"/>
            <w:tcBorders>
              <w:top w:val="single" w:color="808080" w:sz="4"/>
              <w:left w:val="single" w:color="808080" w:sz="4"/>
              <w:bottom w:val="single" w:color="808080" w:sz="4"/>
              <w:right w:val="single" w:color="808080" w:sz="4"/>
            </w:tcBorders>
            <w:shd w:fill="1F3864" w:val="clear"/>
            <w:tcMar>
              <w:top w:type="dxa" w:w="60"/>
              <w:left w:type="dxa" w:w="110"/>
              <w:bottom w:type="dxa" w:w="60"/>
              <w:right w:type="dxa" w:w="110"/>
            </w:tcMar>
            <w:vAlign w:val="center"/>
          </w:tcPr>
          <w:p>
            <w:pPr>
              <w:jc w:val="center"/>
            </w:pPr>
            <w:r>
              <w:rPr>
                <w:rFonts w:ascii="游ゴシック" w:cs="游ゴシック" w:eastAsia="游ゴシック" w:hAnsi="游ゴシック"/>
                <w:b/>
                <w:bCs/>
                <w:color w:val="FFFFFF"/>
                <w:sz w:val="19"/>
                <w:szCs w:val="19"/>
              </w:rPr>
              <w:t xml:space="preserve">区分</w:t>
            </w:r>
          </w:p>
        </w:tc>
        <w:tc>
          <w:tcPr>
            <w:tcW w:type="dxa" w:w="4400"/>
            <w:tcBorders>
              <w:top w:val="single" w:color="808080" w:sz="4"/>
              <w:left w:val="single" w:color="808080" w:sz="4"/>
              <w:bottom w:val="single" w:color="808080" w:sz="4"/>
              <w:right w:val="single" w:color="808080" w:sz="4"/>
            </w:tcBorders>
            <w:shd w:fill="1F3864" w:val="clear"/>
            <w:tcMar>
              <w:top w:type="dxa" w:w="60"/>
              <w:left w:type="dxa" w:w="110"/>
              <w:bottom w:type="dxa" w:w="60"/>
              <w:right w:type="dxa" w:w="110"/>
            </w:tcMar>
            <w:vAlign w:val="center"/>
          </w:tcPr>
          <w:p>
            <w:pPr>
              <w:jc w:val="center"/>
            </w:pPr>
            <w:r>
              <w:rPr>
                <w:rFonts w:ascii="游ゴシック" w:cs="游ゴシック" w:eastAsia="游ゴシック" w:hAnsi="游ゴシック"/>
                <w:b/>
                <w:bCs/>
                <w:color w:val="FFFFFF"/>
                <w:sz w:val="19"/>
                <w:szCs w:val="19"/>
              </w:rPr>
              <w:t xml:space="preserve">データ</w:t>
            </w:r>
          </w:p>
        </w:tc>
        <w:tc>
          <w:tcPr>
            <w:tcW w:type="dxa" w:w="3000"/>
            <w:tcBorders>
              <w:top w:val="single" w:color="808080" w:sz="4"/>
              <w:left w:val="single" w:color="808080" w:sz="4"/>
              <w:bottom w:val="single" w:color="808080" w:sz="4"/>
              <w:right w:val="single" w:color="808080" w:sz="4"/>
            </w:tcBorders>
            <w:shd w:fill="1F3864" w:val="clear"/>
            <w:tcMar>
              <w:top w:type="dxa" w:w="60"/>
              <w:left w:type="dxa" w:w="110"/>
              <w:bottom w:type="dxa" w:w="60"/>
              <w:right w:type="dxa" w:w="110"/>
            </w:tcMar>
            <w:vAlign w:val="center"/>
          </w:tcPr>
          <w:p>
            <w:pPr>
              <w:jc w:val="center"/>
            </w:pPr>
            <w:r>
              <w:rPr>
                <w:rFonts w:ascii="游ゴシック" w:cs="游ゴシック" w:eastAsia="游ゴシック" w:hAnsi="游ゴシック"/>
                <w:b/>
                <w:bCs/>
                <w:color w:val="FFFFFF"/>
                <w:sz w:val="19"/>
                <w:szCs w:val="19"/>
              </w:rPr>
              <w:t xml:space="preserve">出典</w:t>
            </w:r>
          </w:p>
        </w:tc>
      </w:tr>
      <w:tr>
        <w:tc>
          <w:tcPr>
            <w:tcBorders>
              <w:top w:val="single" w:color="808080" w:sz="4"/>
              <w:left w:val="single" w:color="808080" w:sz="4"/>
              <w:bottom w:val="single" w:color="808080" w:sz="4"/>
              <w:right w:val="single" w:color="808080" w:sz="4"/>
            </w:tcBorders>
            <w:shd w:fill="DEEBF7" w:val="clear"/>
            <w:tcMar>
              <w:top w:type="dxa" w:w="60"/>
              <w:left w:type="dxa" w:w="110"/>
              <w:bottom w:type="dxa" w:w="60"/>
              <w:right w:type="dxa" w:w="110"/>
            </w:tcMar>
            <w:vAlign w:val="center"/>
          </w:tcPr>
          <w:p>
            <w:pPr>
              <w:jc w:val="center"/>
            </w:pPr>
            <w:r>
              <w:rPr>
                <w:rFonts w:ascii="游明朝" w:cs="游明朝" w:eastAsia="游明朝" w:hAnsi="游明朝"/>
                <w:b/>
                <w:bCs/>
                <w:color w:val="262626"/>
                <w:sz w:val="19"/>
                <w:szCs w:val="19"/>
              </w:rPr>
              <w:t xml:space="preserve">県内比較</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left"/>
            </w:pPr>
            <w:r>
              <w:rPr>
                <w:rFonts w:ascii="游明朝" w:cs="游明朝" w:eastAsia="游明朝" w:hAnsi="游明朝"/>
                <w:b w:val="false"/>
                <w:bCs w:val="false"/>
                <w:color w:val="262626"/>
                <w:sz w:val="19"/>
                <w:szCs w:val="19"/>
              </w:rPr>
              <w:t xml:space="preserve">宮城県35市町村別 第8期・第9期保険料基準月額（確定値）</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left"/>
            </w:pPr>
            <w:r>
              <w:rPr>
                <w:rFonts w:ascii="游明朝" w:cs="游明朝" w:eastAsia="游明朝" w:hAnsi="游明朝"/>
                <w:b w:val="false"/>
                <w:bCs w:val="false"/>
                <w:color w:val="262626"/>
                <w:sz w:val="19"/>
                <w:szCs w:val="19"/>
              </w:rPr>
              <w:t xml:space="preserve">宮城県「市町村別保険料（月額）一覧」</w:t>
            </w:r>
          </w:p>
        </w:tc>
      </w:tr>
      <w:tr>
        <w:tc>
          <w:tcPr>
            <w:tcBorders>
              <w:top w:val="single" w:color="808080" w:sz="4"/>
              <w:left w:val="single" w:color="808080" w:sz="4"/>
              <w:bottom w:val="single" w:color="808080" w:sz="4"/>
              <w:right w:val="single" w:color="808080" w:sz="4"/>
            </w:tcBorders>
            <w:shd w:fill="DEEBF7" w:val="clear"/>
            <w:tcMar>
              <w:top w:type="dxa" w:w="60"/>
              <w:left w:type="dxa" w:w="110"/>
              <w:bottom w:type="dxa" w:w="60"/>
              <w:right w:type="dxa" w:w="110"/>
            </w:tcMar>
            <w:vAlign w:val="center"/>
          </w:tcPr>
          <w:p>
            <w:pPr>
              <w:jc w:val="center"/>
            </w:pPr>
            <w:r>
              <w:rPr>
                <w:rFonts w:ascii="游明朝" w:cs="游明朝" w:eastAsia="游明朝" w:hAnsi="游明朝"/>
                <w:b/>
                <w:bCs/>
                <w:color w:val="262626"/>
                <w:sz w:val="19"/>
                <w:szCs w:val="19"/>
              </w:rPr>
              <w:t xml:space="preserve">全国</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left"/>
            </w:pPr>
            <w:r>
              <w:rPr>
                <w:rFonts w:ascii="游明朝" w:cs="游明朝" w:eastAsia="游明朝" w:hAnsi="游明朝"/>
                <w:b w:val="false"/>
                <w:bCs w:val="false"/>
                <w:color w:val="262626"/>
                <w:sz w:val="19"/>
                <w:szCs w:val="19"/>
              </w:rPr>
              <w:t xml:space="preserve">全国加重平均 第9期6,225円／第8期6,014円</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left"/>
            </w:pPr>
            <w:r>
              <w:rPr>
                <w:rFonts w:ascii="游明朝" w:cs="游明朝" w:eastAsia="游明朝" w:hAnsi="游明朝"/>
                <w:b w:val="false"/>
                <w:bCs w:val="false"/>
                <w:color w:val="262626"/>
                <w:sz w:val="19"/>
                <w:szCs w:val="19"/>
              </w:rPr>
              <w:t xml:space="preserve">厚労省「第9期保険料及びサービス見込み量等について」</w:t>
            </w:r>
          </w:p>
        </w:tc>
      </w:tr>
      <w:tr>
        <w:tc>
          <w:tcPr>
            <w:tcBorders>
              <w:top w:val="single" w:color="808080" w:sz="4"/>
              <w:left w:val="single" w:color="808080" w:sz="4"/>
              <w:bottom w:val="single" w:color="808080" w:sz="4"/>
              <w:right w:val="single" w:color="808080" w:sz="4"/>
            </w:tcBorders>
            <w:shd w:fill="DEEBF7" w:val="clear"/>
            <w:tcMar>
              <w:top w:type="dxa" w:w="60"/>
              <w:left w:type="dxa" w:w="110"/>
              <w:bottom w:type="dxa" w:w="60"/>
              <w:right w:type="dxa" w:w="110"/>
            </w:tcMar>
            <w:vAlign w:val="center"/>
          </w:tcPr>
          <w:p>
            <w:pPr>
              <w:jc w:val="center"/>
            </w:pPr>
            <w:r>
              <w:rPr>
                <w:rFonts w:ascii="游明朝" w:cs="游明朝" w:eastAsia="游明朝" w:hAnsi="游明朝"/>
                <w:b/>
                <w:bCs/>
                <w:color w:val="262626"/>
                <w:sz w:val="19"/>
                <w:szCs w:val="19"/>
              </w:rPr>
              <w:t xml:space="preserve">本町実績</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left"/>
            </w:pPr>
            <w:r>
              <w:rPr>
                <w:rFonts w:ascii="游明朝" w:cs="游明朝" w:eastAsia="游明朝" w:hAnsi="游明朝"/>
                <w:b w:val="false"/>
                <w:bCs w:val="false"/>
                <w:color w:val="262626"/>
                <w:sz w:val="19"/>
                <w:szCs w:val="19"/>
              </w:rPr>
              <w:t xml:space="preserve">川崎町 第8期6,380円・第9期6,500円、給付費9.6億円、所得段階別人数等</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left"/>
            </w:pPr>
            <w:r>
              <w:rPr>
                <w:rFonts w:ascii="游明朝" w:cs="游明朝" w:eastAsia="游明朝" w:hAnsi="游明朝"/>
                <w:b w:val="false"/>
                <w:bCs w:val="false"/>
                <w:color w:val="262626"/>
                <w:sz w:val="19"/>
                <w:szCs w:val="19"/>
              </w:rPr>
              <w:t xml:space="preserve">保険者データ（R7.6）・年報データ（R3）・MECE版データ</w:t>
            </w:r>
          </w:p>
        </w:tc>
      </w:tr>
    </w:tbl>
    <w:p>
      <w:pPr>
        <w:spacing w:after="120"/>
      </w:pPr>
      <w:r>
        <w:rPr>
          <w:rFonts w:ascii="游明朝" w:cs="游明朝" w:eastAsia="游明朝" w:hAnsi="游明朝"/>
          <w:i/>
          <w:iCs/>
          <w:color w:val="808080"/>
          <w:sz w:val="17"/>
          <w:szCs w:val="17"/>
        </w:rPr>
        <w:t xml:space="preserve">※ 宮城県公表値の川崎町第9期6,500円・第8期6,380円は、本町MECE版データと完全一致しており、データの信頼性が相互に確認されている。</w:t>
      </w:r>
    </w:p>
    <w:p>
      <w:r>
        <w:br w:type="page"/>
      </w:r>
    </w:p>
    <w:p>
      <w:pPr>
        <w:pBdr>
          <w:top w:val="single" w:color="1F3864" w:sz="2" w:space="6"/>
          <w:bottom w:val="single" w:color="1F3864" w:sz="2" w:space="6"/>
        </w:pBdr>
        <w:shd w:fill="1F3864" w:val="clear"/>
        <w:spacing w:after="160" w:before="320"/>
      </w:pPr>
      <w:r>
        <w:rPr>
          <w:rFonts w:ascii="游ゴシック" w:cs="游ゴシック" w:eastAsia="游ゴシック" w:hAnsi="游ゴシック"/>
          <w:b/>
          <w:bCs/>
          <w:color w:val="FFC000"/>
          <w:sz w:val="26"/>
          <w:szCs w:val="26"/>
        </w:rPr>
        <w:t xml:space="preserve">  2  </w:t>
      </w:r>
      <w:r>
        <w:rPr>
          <w:rFonts w:ascii="游ゴシック" w:cs="游ゴシック" w:eastAsia="游ゴシック" w:hAnsi="游ゴシック"/>
          <w:b/>
          <w:bCs/>
          <w:color w:val="FFFFFF"/>
          <w:sz w:val="26"/>
          <w:szCs w:val="26"/>
        </w:rPr>
        <w:t xml:space="preserve">宮城県内35市町村における川崎町の位置</w:t>
      </w:r>
    </w:p>
    <w:p>
      <w:pPr>
        <w:spacing w:after="120" w:line="300"/>
        <w:jc w:val="both"/>
      </w:pPr>
      <w:r>
        <w:rPr>
          <w:rFonts w:ascii="游明朝" w:cs="游明朝" w:eastAsia="游明朝" w:hAnsi="游明朝"/>
          <w:color w:val="262626"/>
          <w:sz w:val="21"/>
          <w:szCs w:val="21"/>
        </w:rPr>
        <w:t xml:space="preserve">宮城県内35市町村の第9期保険料基準額（月額）を高い順に並べると、川崎町6,500円は上位グループに位置します。下表は全35市町村のランキングです（網掛けは川崎町・県加重平均）。</w:t>
      </w:r>
    </w:p>
    <w:p>
      <w:pPr>
        <w:spacing w:after="40" w:before="60"/>
      </w:pPr>
      <w:r>
        <w:rPr>
          <w:rFonts w:ascii="游ゴシック" w:cs="游ゴシック" w:eastAsia="游ゴシック" w:hAnsi="游ゴシック"/>
          <w:b/>
          <w:bCs/>
          <w:color w:val="1F3864"/>
          <w:sz w:val="20"/>
          <w:szCs w:val="20"/>
        </w:rPr>
        <w:t xml:space="preserve">表2-1　宮城県内35市町村 第9期保険料基準月額ランキング（高い順）</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900"/>
        <w:gridCol w:w="2100"/>
        <w:gridCol w:w="1500"/>
        <w:gridCol w:w="1500"/>
        <w:gridCol w:w="1300"/>
        <w:gridCol w:w="1500"/>
      </w:tblGrid>
      <w:tr>
        <w:trPr>
          <w:tblHeader/>
        </w:trPr>
        <w:tc>
          <w:tcPr>
            <w:tcW w:type="dxa" w:w="900"/>
            <w:tcBorders>
              <w:top w:val="single" w:color="808080" w:sz="4"/>
              <w:left w:val="single" w:color="808080" w:sz="4"/>
              <w:bottom w:val="single" w:color="808080" w:sz="4"/>
              <w:right w:val="single" w:color="808080" w:sz="4"/>
            </w:tcBorders>
            <w:shd w:fill="1F3864" w:val="clear"/>
            <w:tcMar>
              <w:top w:type="dxa" w:w="60"/>
              <w:left w:type="dxa" w:w="110"/>
              <w:bottom w:type="dxa" w:w="60"/>
              <w:right w:type="dxa" w:w="110"/>
            </w:tcMar>
            <w:vAlign w:val="center"/>
          </w:tcPr>
          <w:p>
            <w:pPr>
              <w:jc w:val="center"/>
            </w:pPr>
            <w:r>
              <w:rPr>
                <w:rFonts w:ascii="游ゴシック" w:cs="游ゴシック" w:eastAsia="游ゴシック" w:hAnsi="游ゴシック"/>
                <w:b/>
                <w:bCs/>
                <w:color w:val="FFFFFF"/>
                <w:sz w:val="19"/>
                <w:szCs w:val="19"/>
              </w:rPr>
              <w:t xml:space="preserve">順位</w:t>
            </w:r>
          </w:p>
        </w:tc>
        <w:tc>
          <w:tcPr>
            <w:tcW w:type="dxa" w:w="2100"/>
            <w:tcBorders>
              <w:top w:val="single" w:color="808080" w:sz="4"/>
              <w:left w:val="single" w:color="808080" w:sz="4"/>
              <w:bottom w:val="single" w:color="808080" w:sz="4"/>
              <w:right w:val="single" w:color="808080" w:sz="4"/>
            </w:tcBorders>
            <w:shd w:fill="1F3864" w:val="clear"/>
            <w:tcMar>
              <w:top w:type="dxa" w:w="60"/>
              <w:left w:type="dxa" w:w="110"/>
              <w:bottom w:type="dxa" w:w="60"/>
              <w:right w:type="dxa" w:w="110"/>
            </w:tcMar>
            <w:vAlign w:val="center"/>
          </w:tcPr>
          <w:p>
            <w:pPr>
              <w:jc w:val="center"/>
            </w:pPr>
            <w:r>
              <w:rPr>
                <w:rFonts w:ascii="游ゴシック" w:cs="游ゴシック" w:eastAsia="游ゴシック" w:hAnsi="游ゴシック"/>
                <w:b/>
                <w:bCs/>
                <w:color w:val="FFFFFF"/>
                <w:sz w:val="19"/>
                <w:szCs w:val="19"/>
              </w:rPr>
              <w:t xml:space="preserve">市町村</w:t>
            </w:r>
          </w:p>
        </w:tc>
        <w:tc>
          <w:tcPr>
            <w:tcW w:type="dxa" w:w="1500"/>
            <w:tcBorders>
              <w:top w:val="single" w:color="808080" w:sz="4"/>
              <w:left w:val="single" w:color="808080" w:sz="4"/>
              <w:bottom w:val="single" w:color="808080" w:sz="4"/>
              <w:right w:val="single" w:color="808080" w:sz="4"/>
            </w:tcBorders>
            <w:shd w:fill="1F3864" w:val="clear"/>
            <w:tcMar>
              <w:top w:type="dxa" w:w="60"/>
              <w:left w:type="dxa" w:w="110"/>
              <w:bottom w:type="dxa" w:w="60"/>
              <w:right w:type="dxa" w:w="110"/>
            </w:tcMar>
            <w:vAlign w:val="center"/>
          </w:tcPr>
          <w:p>
            <w:pPr>
              <w:jc w:val="center"/>
            </w:pPr>
            <w:r>
              <w:rPr>
                <w:rFonts w:ascii="游ゴシック" w:cs="游ゴシック" w:eastAsia="游ゴシック" w:hAnsi="游ゴシック"/>
                <w:b/>
                <w:bCs/>
                <w:color w:val="FFFFFF"/>
                <w:sz w:val="19"/>
                <w:szCs w:val="19"/>
              </w:rPr>
              <w:t xml:space="preserve">第9期(円)</w:t>
            </w:r>
          </w:p>
        </w:tc>
        <w:tc>
          <w:tcPr>
            <w:tcW w:type="dxa" w:w="1500"/>
            <w:tcBorders>
              <w:top w:val="single" w:color="808080" w:sz="4"/>
              <w:left w:val="single" w:color="808080" w:sz="4"/>
              <w:bottom w:val="single" w:color="808080" w:sz="4"/>
              <w:right w:val="single" w:color="808080" w:sz="4"/>
            </w:tcBorders>
            <w:shd w:fill="1F3864" w:val="clear"/>
            <w:tcMar>
              <w:top w:type="dxa" w:w="60"/>
              <w:left w:type="dxa" w:w="110"/>
              <w:bottom w:type="dxa" w:w="60"/>
              <w:right w:type="dxa" w:w="110"/>
            </w:tcMar>
            <w:vAlign w:val="center"/>
          </w:tcPr>
          <w:p>
            <w:pPr>
              <w:jc w:val="center"/>
            </w:pPr>
            <w:r>
              <w:rPr>
                <w:rFonts w:ascii="游ゴシック" w:cs="游ゴシック" w:eastAsia="游ゴシック" w:hAnsi="游ゴシック"/>
                <w:b/>
                <w:bCs/>
                <w:color w:val="FFFFFF"/>
                <w:sz w:val="19"/>
                <w:szCs w:val="19"/>
              </w:rPr>
              <w:t xml:space="preserve">第8期(円)</w:t>
            </w:r>
          </w:p>
        </w:tc>
        <w:tc>
          <w:tcPr>
            <w:tcW w:type="dxa" w:w="1300"/>
            <w:tcBorders>
              <w:top w:val="single" w:color="808080" w:sz="4"/>
              <w:left w:val="single" w:color="808080" w:sz="4"/>
              <w:bottom w:val="single" w:color="808080" w:sz="4"/>
              <w:right w:val="single" w:color="808080" w:sz="4"/>
            </w:tcBorders>
            <w:shd w:fill="1F3864" w:val="clear"/>
            <w:tcMar>
              <w:top w:type="dxa" w:w="60"/>
              <w:left w:type="dxa" w:w="110"/>
              <w:bottom w:type="dxa" w:w="60"/>
              <w:right w:type="dxa" w:w="110"/>
            </w:tcMar>
            <w:vAlign w:val="center"/>
          </w:tcPr>
          <w:p>
            <w:pPr>
              <w:jc w:val="center"/>
            </w:pPr>
            <w:r>
              <w:rPr>
                <w:rFonts w:ascii="游ゴシック" w:cs="游ゴシック" w:eastAsia="游ゴシック" w:hAnsi="游ゴシック"/>
                <w:b/>
                <w:bCs/>
                <w:color w:val="FFFFFF"/>
                <w:sz w:val="19"/>
                <w:szCs w:val="19"/>
              </w:rPr>
              <w:t xml:space="preserve">増減(円)</w:t>
            </w:r>
          </w:p>
        </w:tc>
        <w:tc>
          <w:tcPr>
            <w:tcW w:type="dxa" w:w="1500"/>
            <w:tcBorders>
              <w:top w:val="single" w:color="808080" w:sz="4"/>
              <w:left w:val="single" w:color="808080" w:sz="4"/>
              <w:bottom w:val="single" w:color="808080" w:sz="4"/>
              <w:right w:val="single" w:color="808080" w:sz="4"/>
            </w:tcBorders>
            <w:shd w:fill="1F3864" w:val="clear"/>
            <w:tcMar>
              <w:top w:type="dxa" w:w="60"/>
              <w:left w:type="dxa" w:w="110"/>
              <w:bottom w:type="dxa" w:w="60"/>
              <w:right w:type="dxa" w:w="110"/>
            </w:tcMar>
            <w:vAlign w:val="center"/>
          </w:tcPr>
          <w:p>
            <w:pPr>
              <w:jc w:val="center"/>
            </w:pPr>
            <w:r>
              <w:rPr>
                <w:rFonts w:ascii="游ゴシック" w:cs="游ゴシック" w:eastAsia="游ゴシック" w:hAnsi="游ゴシック"/>
                <w:b/>
                <w:bCs/>
                <w:color w:val="FFFFFF"/>
                <w:sz w:val="19"/>
                <w:szCs w:val="19"/>
              </w:rPr>
              <w:t xml:space="preserve">対県平均</w:t>
            </w:r>
          </w:p>
        </w:tc>
      </w:tr>
      <w:tr>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262626"/>
                <w:sz w:val="19"/>
                <w:szCs w:val="19"/>
              </w:rPr>
              <w:t xml:space="preserve">1</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left"/>
            </w:pPr>
            <w:r>
              <w:rPr>
                <w:rFonts w:ascii="游明朝" w:cs="游明朝" w:eastAsia="游明朝" w:hAnsi="游明朝"/>
                <w:b w:val="false"/>
                <w:bCs w:val="false"/>
                <w:color w:val="262626"/>
                <w:sz w:val="19"/>
                <w:szCs w:val="19"/>
              </w:rPr>
              <w:t xml:space="preserve">登米市</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262626"/>
                <w:sz w:val="19"/>
                <w:szCs w:val="19"/>
              </w:rPr>
              <w:t xml:space="preserve">6,950</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262626"/>
                <w:sz w:val="19"/>
                <w:szCs w:val="19"/>
              </w:rPr>
              <w:t xml:space="preserve">6,000</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262626"/>
                <w:sz w:val="19"/>
                <w:szCs w:val="19"/>
              </w:rPr>
              <w:t xml:space="preserve">+950</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C55A11"/>
                <w:sz w:val="19"/>
                <w:szCs w:val="19"/>
              </w:rPr>
              <w:t xml:space="preserve">+852</w:t>
            </w:r>
          </w:p>
        </w:tc>
      </w:tr>
      <w:tr>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262626"/>
                <w:sz w:val="19"/>
                <w:szCs w:val="19"/>
              </w:rPr>
              <w:t xml:space="preserve">2</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left"/>
            </w:pPr>
            <w:r>
              <w:rPr>
                <w:rFonts w:ascii="游明朝" w:cs="游明朝" w:eastAsia="游明朝" w:hAnsi="游明朝"/>
                <w:b w:val="false"/>
                <w:bCs w:val="false"/>
                <w:color w:val="262626"/>
                <w:sz w:val="19"/>
                <w:szCs w:val="19"/>
              </w:rPr>
              <w:t xml:space="preserve">大郷町</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262626"/>
                <w:sz w:val="19"/>
                <w:szCs w:val="19"/>
              </w:rPr>
              <w:t xml:space="preserve">6,800</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262626"/>
                <w:sz w:val="19"/>
                <w:szCs w:val="19"/>
              </w:rPr>
              <w:t xml:space="preserve">6,300</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262626"/>
                <w:sz w:val="19"/>
                <w:szCs w:val="19"/>
              </w:rPr>
              <w:t xml:space="preserve">+500</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C55A11"/>
                <w:sz w:val="19"/>
                <w:szCs w:val="19"/>
              </w:rPr>
              <w:t xml:space="preserve">+702</w:t>
            </w:r>
          </w:p>
        </w:tc>
      </w:tr>
      <w:tr>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262626"/>
                <w:sz w:val="19"/>
                <w:szCs w:val="19"/>
              </w:rPr>
              <w:t xml:space="preserve">3</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left"/>
            </w:pPr>
            <w:r>
              <w:rPr>
                <w:rFonts w:ascii="游明朝" w:cs="游明朝" w:eastAsia="游明朝" w:hAnsi="游明朝"/>
                <w:b w:val="false"/>
                <w:bCs w:val="false"/>
                <w:color w:val="262626"/>
                <w:sz w:val="19"/>
                <w:szCs w:val="19"/>
              </w:rPr>
              <w:t xml:space="preserve">名取市</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262626"/>
                <w:sz w:val="19"/>
                <w:szCs w:val="19"/>
              </w:rPr>
              <w:t xml:space="preserve">6,660</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262626"/>
                <w:sz w:val="19"/>
                <w:szCs w:val="19"/>
              </w:rPr>
              <w:t xml:space="preserve">5,590</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262626"/>
                <w:sz w:val="19"/>
                <w:szCs w:val="19"/>
              </w:rPr>
              <w:t xml:space="preserve">+1070</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C55A11"/>
                <w:sz w:val="19"/>
                <w:szCs w:val="19"/>
              </w:rPr>
              <w:t xml:space="preserve">+562</w:t>
            </w:r>
          </w:p>
        </w:tc>
      </w:tr>
      <w:tr>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262626"/>
                <w:sz w:val="19"/>
                <w:szCs w:val="19"/>
              </w:rPr>
              <w:t xml:space="preserve">4</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left"/>
            </w:pPr>
            <w:r>
              <w:rPr>
                <w:rFonts w:ascii="游明朝" w:cs="游明朝" w:eastAsia="游明朝" w:hAnsi="游明朝"/>
                <w:b w:val="false"/>
                <w:bCs w:val="false"/>
                <w:color w:val="262626"/>
                <w:sz w:val="19"/>
                <w:szCs w:val="19"/>
              </w:rPr>
              <w:t xml:space="preserve">七ヶ浜町</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262626"/>
                <w:sz w:val="19"/>
                <w:szCs w:val="19"/>
              </w:rPr>
              <w:t xml:space="preserve">6,600</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262626"/>
                <w:sz w:val="19"/>
                <w:szCs w:val="19"/>
              </w:rPr>
              <w:t xml:space="preserve">6,200</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262626"/>
                <w:sz w:val="19"/>
                <w:szCs w:val="19"/>
              </w:rPr>
              <w:t xml:space="preserve">+400</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C55A11"/>
                <w:sz w:val="19"/>
                <w:szCs w:val="19"/>
              </w:rPr>
              <w:t xml:space="preserve">+502</w:t>
            </w:r>
          </w:p>
        </w:tc>
      </w:tr>
      <w:tr>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262626"/>
                <w:sz w:val="19"/>
                <w:szCs w:val="19"/>
              </w:rPr>
              <w:t xml:space="preserve">4</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left"/>
            </w:pPr>
            <w:r>
              <w:rPr>
                <w:rFonts w:ascii="游明朝" w:cs="游明朝" w:eastAsia="游明朝" w:hAnsi="游明朝"/>
                <w:b w:val="false"/>
                <w:bCs w:val="false"/>
                <w:color w:val="262626"/>
                <w:sz w:val="19"/>
                <w:szCs w:val="19"/>
              </w:rPr>
              <w:t xml:space="preserve">大衡村</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262626"/>
                <w:sz w:val="19"/>
                <w:szCs w:val="19"/>
              </w:rPr>
              <w:t xml:space="preserve">6,600</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262626"/>
                <w:sz w:val="19"/>
                <w:szCs w:val="19"/>
              </w:rPr>
              <w:t xml:space="preserve">7,000</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2E75B6"/>
                <w:sz w:val="19"/>
                <w:szCs w:val="19"/>
              </w:rPr>
              <w:t xml:space="preserve">-400</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C55A11"/>
                <w:sz w:val="19"/>
                <w:szCs w:val="19"/>
              </w:rPr>
              <w:t xml:space="preserve">+502</w:t>
            </w:r>
          </w:p>
        </w:tc>
      </w:tr>
      <w:tr>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262626"/>
                <w:sz w:val="19"/>
                <w:szCs w:val="19"/>
              </w:rPr>
              <w:t xml:space="preserve">4</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left"/>
            </w:pPr>
            <w:r>
              <w:rPr>
                <w:rFonts w:ascii="游明朝" w:cs="游明朝" w:eastAsia="游明朝" w:hAnsi="游明朝"/>
                <w:b w:val="false"/>
                <w:bCs w:val="false"/>
                <w:color w:val="262626"/>
                <w:sz w:val="19"/>
                <w:szCs w:val="19"/>
              </w:rPr>
              <w:t xml:space="preserve">色麻町</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262626"/>
                <w:sz w:val="19"/>
                <w:szCs w:val="19"/>
              </w:rPr>
              <w:t xml:space="preserve">6,600</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262626"/>
                <w:sz w:val="19"/>
                <w:szCs w:val="19"/>
              </w:rPr>
              <w:t xml:space="preserve">5,600</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262626"/>
                <w:sz w:val="19"/>
                <w:szCs w:val="19"/>
              </w:rPr>
              <w:t xml:space="preserve">+1000</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C55A11"/>
                <w:sz w:val="19"/>
                <w:szCs w:val="19"/>
              </w:rPr>
              <w:t xml:space="preserve">+502</w:t>
            </w:r>
          </w:p>
        </w:tc>
      </w:tr>
      <w:tr>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262626"/>
                <w:sz w:val="19"/>
                <w:szCs w:val="19"/>
              </w:rPr>
              <w:t xml:space="preserve">4</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left"/>
            </w:pPr>
            <w:r>
              <w:rPr>
                <w:rFonts w:ascii="游明朝" w:cs="游明朝" w:eastAsia="游明朝" w:hAnsi="游明朝"/>
                <w:b w:val="false"/>
                <w:bCs w:val="false"/>
                <w:color w:val="262626"/>
                <w:sz w:val="19"/>
                <w:szCs w:val="19"/>
              </w:rPr>
              <w:t xml:space="preserve">加美町</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262626"/>
                <w:sz w:val="19"/>
                <w:szCs w:val="19"/>
              </w:rPr>
              <w:t xml:space="preserve">6,600</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262626"/>
                <w:sz w:val="19"/>
                <w:szCs w:val="19"/>
              </w:rPr>
              <w:t xml:space="preserve">6,300</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262626"/>
                <w:sz w:val="19"/>
                <w:szCs w:val="19"/>
              </w:rPr>
              <w:t xml:space="preserve">+300</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C55A11"/>
                <w:sz w:val="19"/>
                <w:szCs w:val="19"/>
              </w:rPr>
              <w:t xml:space="preserve">+502</w:t>
            </w:r>
          </w:p>
        </w:tc>
      </w:tr>
      <w:tr>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262626"/>
                <w:sz w:val="19"/>
                <w:szCs w:val="19"/>
              </w:rPr>
              <w:t xml:space="preserve">8</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left"/>
            </w:pPr>
            <w:r>
              <w:rPr>
                <w:rFonts w:ascii="游明朝" w:cs="游明朝" w:eastAsia="游明朝" w:hAnsi="游明朝"/>
                <w:b w:val="false"/>
                <w:bCs w:val="false"/>
                <w:color w:val="262626"/>
                <w:sz w:val="19"/>
                <w:szCs w:val="19"/>
              </w:rPr>
              <w:t xml:space="preserve">大和町</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262626"/>
                <w:sz w:val="19"/>
                <w:szCs w:val="19"/>
              </w:rPr>
              <w:t xml:space="preserve">6,520</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262626"/>
                <w:sz w:val="19"/>
                <w:szCs w:val="19"/>
              </w:rPr>
              <w:t xml:space="preserve">6,520</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262626"/>
                <w:sz w:val="19"/>
                <w:szCs w:val="19"/>
              </w:rPr>
              <w:t xml:space="preserve">+0</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C55A11"/>
                <w:sz w:val="19"/>
                <w:szCs w:val="19"/>
              </w:rPr>
              <w:t xml:space="preserve">+422</w:t>
            </w:r>
          </w:p>
        </w:tc>
      </w:tr>
      <w:tr>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262626"/>
                <w:sz w:val="19"/>
                <w:szCs w:val="19"/>
              </w:rPr>
              <w:t xml:space="preserve">9</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left"/>
            </w:pPr>
            <w:r>
              <w:rPr>
                <w:rFonts w:ascii="游明朝" w:cs="游明朝" w:eastAsia="游明朝" w:hAnsi="游明朝"/>
                <w:b w:val="false"/>
                <w:bCs w:val="false"/>
                <w:color w:val="262626"/>
                <w:sz w:val="19"/>
                <w:szCs w:val="19"/>
              </w:rPr>
              <w:t xml:space="preserve">岩沼市</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262626"/>
                <w:sz w:val="19"/>
                <w:szCs w:val="19"/>
              </w:rPr>
              <w:t xml:space="preserve">6,507</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262626"/>
                <w:sz w:val="19"/>
                <w:szCs w:val="19"/>
              </w:rPr>
              <w:t xml:space="preserve">6,325</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262626"/>
                <w:sz w:val="19"/>
                <w:szCs w:val="19"/>
              </w:rPr>
              <w:t xml:space="preserve">+182</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C55A11"/>
                <w:sz w:val="19"/>
                <w:szCs w:val="19"/>
              </w:rPr>
              <w:t xml:space="preserve">+409</w:t>
            </w:r>
          </w:p>
        </w:tc>
      </w:tr>
      <w:tr>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262626"/>
                <w:sz w:val="19"/>
                <w:szCs w:val="19"/>
              </w:rPr>
              <w:t xml:space="preserve">10</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left"/>
            </w:pPr>
            <w:r>
              <w:rPr>
                <w:rFonts w:ascii="游明朝" w:cs="游明朝" w:eastAsia="游明朝" w:hAnsi="游明朝"/>
                <w:b w:val="false"/>
                <w:bCs w:val="false"/>
                <w:color w:val="262626"/>
                <w:sz w:val="19"/>
                <w:szCs w:val="19"/>
              </w:rPr>
              <w:t xml:space="preserve">村田町</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262626"/>
                <w:sz w:val="19"/>
                <w:szCs w:val="19"/>
              </w:rPr>
              <w:t xml:space="preserve">6,500</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262626"/>
                <w:sz w:val="19"/>
                <w:szCs w:val="19"/>
              </w:rPr>
              <w:t xml:space="preserve">6,200</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262626"/>
                <w:sz w:val="19"/>
                <w:szCs w:val="19"/>
              </w:rPr>
              <w:t xml:space="preserve">+300</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C55A11"/>
                <w:sz w:val="19"/>
                <w:szCs w:val="19"/>
              </w:rPr>
              <w:t xml:space="preserve">+402</w:t>
            </w:r>
          </w:p>
        </w:tc>
      </w:tr>
      <w:tr>
        <w:tc>
          <w:tcPr>
            <w:tcBorders>
              <w:top w:val="single" w:color="808080" w:sz="4"/>
              <w:left w:val="single" w:color="808080" w:sz="4"/>
              <w:bottom w:val="single" w:color="808080" w:sz="4"/>
              <w:right w:val="single" w:color="808080" w:sz="4"/>
            </w:tcBorders>
            <w:shd w:fill="FCE4D6" w:val="clear"/>
            <w:tcMar>
              <w:top w:type="dxa" w:w="60"/>
              <w:left w:type="dxa" w:w="110"/>
              <w:bottom w:type="dxa" w:w="60"/>
              <w:right w:type="dxa" w:w="110"/>
            </w:tcMar>
            <w:vAlign w:val="center"/>
          </w:tcPr>
          <w:p>
            <w:pPr>
              <w:jc w:val="center"/>
            </w:pPr>
            <w:r>
              <w:rPr>
                <w:rFonts w:ascii="游明朝" w:cs="游明朝" w:eastAsia="游明朝" w:hAnsi="游明朝"/>
                <w:b/>
                <w:bCs/>
                <w:color w:val="262626"/>
                <w:sz w:val="19"/>
                <w:szCs w:val="19"/>
              </w:rPr>
              <w:t xml:space="preserve">10</w:t>
            </w:r>
          </w:p>
        </w:tc>
        <w:tc>
          <w:tcPr>
            <w:tcBorders>
              <w:top w:val="single" w:color="808080" w:sz="4"/>
              <w:left w:val="single" w:color="808080" w:sz="4"/>
              <w:bottom w:val="single" w:color="808080" w:sz="4"/>
              <w:right w:val="single" w:color="808080" w:sz="4"/>
            </w:tcBorders>
            <w:shd w:fill="FCE4D6" w:val="clear"/>
            <w:tcMar>
              <w:top w:type="dxa" w:w="60"/>
              <w:left w:type="dxa" w:w="110"/>
              <w:bottom w:type="dxa" w:w="60"/>
              <w:right w:type="dxa" w:w="110"/>
            </w:tcMar>
            <w:vAlign w:val="center"/>
          </w:tcPr>
          <w:p>
            <w:pPr>
              <w:jc w:val="left"/>
            </w:pPr>
            <w:r>
              <w:rPr>
                <w:rFonts w:ascii="游明朝" w:cs="游明朝" w:eastAsia="游明朝" w:hAnsi="游明朝"/>
                <w:b/>
                <w:bCs/>
                <w:color w:val="C55A11"/>
                <w:sz w:val="19"/>
                <w:szCs w:val="19"/>
              </w:rPr>
              <w:t xml:space="preserve">川崎町</w:t>
            </w:r>
          </w:p>
        </w:tc>
        <w:tc>
          <w:tcPr>
            <w:tcBorders>
              <w:top w:val="single" w:color="808080" w:sz="4"/>
              <w:left w:val="single" w:color="808080" w:sz="4"/>
              <w:bottom w:val="single" w:color="808080" w:sz="4"/>
              <w:right w:val="single" w:color="808080" w:sz="4"/>
            </w:tcBorders>
            <w:shd w:fill="FCE4D6" w:val="clear"/>
            <w:tcMar>
              <w:top w:type="dxa" w:w="60"/>
              <w:left w:type="dxa" w:w="110"/>
              <w:bottom w:type="dxa" w:w="60"/>
              <w:right w:type="dxa" w:w="110"/>
            </w:tcMar>
            <w:vAlign w:val="center"/>
          </w:tcPr>
          <w:p>
            <w:pPr>
              <w:jc w:val="center"/>
            </w:pPr>
            <w:r>
              <w:rPr>
                <w:rFonts w:ascii="游明朝" w:cs="游明朝" w:eastAsia="游明朝" w:hAnsi="游明朝"/>
                <w:b/>
                <w:bCs/>
                <w:color w:val="262626"/>
                <w:sz w:val="19"/>
                <w:szCs w:val="19"/>
              </w:rPr>
              <w:t xml:space="preserve">6,500</w:t>
            </w:r>
          </w:p>
        </w:tc>
        <w:tc>
          <w:tcPr>
            <w:tcBorders>
              <w:top w:val="single" w:color="808080" w:sz="4"/>
              <w:left w:val="single" w:color="808080" w:sz="4"/>
              <w:bottom w:val="single" w:color="808080" w:sz="4"/>
              <w:right w:val="single" w:color="808080" w:sz="4"/>
            </w:tcBorders>
            <w:shd w:fill="FCE4D6" w:val="clear"/>
            <w:tcMar>
              <w:top w:type="dxa" w:w="60"/>
              <w:left w:type="dxa" w:w="110"/>
              <w:bottom w:type="dxa" w:w="60"/>
              <w:right w:type="dxa" w:w="110"/>
            </w:tcMar>
            <w:vAlign w:val="center"/>
          </w:tcPr>
          <w:p>
            <w:pPr>
              <w:jc w:val="center"/>
            </w:pPr>
            <w:r>
              <w:rPr>
                <w:rFonts w:ascii="游明朝" w:cs="游明朝" w:eastAsia="游明朝" w:hAnsi="游明朝"/>
                <w:b w:val="false"/>
                <w:bCs w:val="false"/>
                <w:color w:val="262626"/>
                <w:sz w:val="19"/>
                <w:szCs w:val="19"/>
              </w:rPr>
              <w:t xml:space="preserve">6,380</w:t>
            </w:r>
          </w:p>
        </w:tc>
        <w:tc>
          <w:tcPr>
            <w:tcBorders>
              <w:top w:val="single" w:color="808080" w:sz="4"/>
              <w:left w:val="single" w:color="808080" w:sz="4"/>
              <w:bottom w:val="single" w:color="808080" w:sz="4"/>
              <w:right w:val="single" w:color="808080" w:sz="4"/>
            </w:tcBorders>
            <w:shd w:fill="FCE4D6" w:val="clear"/>
            <w:tcMar>
              <w:top w:type="dxa" w:w="60"/>
              <w:left w:type="dxa" w:w="110"/>
              <w:bottom w:type="dxa" w:w="60"/>
              <w:right w:type="dxa" w:w="110"/>
            </w:tcMar>
            <w:vAlign w:val="center"/>
          </w:tcPr>
          <w:p>
            <w:pPr>
              <w:jc w:val="center"/>
            </w:pPr>
            <w:r>
              <w:rPr>
                <w:rFonts w:ascii="游明朝" w:cs="游明朝" w:eastAsia="游明朝" w:hAnsi="游明朝"/>
                <w:b w:val="false"/>
                <w:bCs w:val="false"/>
                <w:color w:val="262626"/>
                <w:sz w:val="19"/>
                <w:szCs w:val="19"/>
              </w:rPr>
              <w:t xml:space="preserve">+120</w:t>
            </w:r>
          </w:p>
        </w:tc>
        <w:tc>
          <w:tcPr>
            <w:tcBorders>
              <w:top w:val="single" w:color="808080" w:sz="4"/>
              <w:left w:val="single" w:color="808080" w:sz="4"/>
              <w:bottom w:val="single" w:color="808080" w:sz="4"/>
              <w:right w:val="single" w:color="808080" w:sz="4"/>
            </w:tcBorders>
            <w:shd w:fill="FCE4D6" w:val="clear"/>
            <w:tcMar>
              <w:top w:type="dxa" w:w="60"/>
              <w:left w:type="dxa" w:w="110"/>
              <w:bottom w:type="dxa" w:w="60"/>
              <w:right w:type="dxa" w:w="110"/>
            </w:tcMar>
            <w:vAlign w:val="center"/>
          </w:tcPr>
          <w:p>
            <w:pPr>
              <w:jc w:val="center"/>
            </w:pPr>
            <w:r>
              <w:rPr>
                <w:rFonts w:ascii="游明朝" w:cs="游明朝" w:eastAsia="游明朝" w:hAnsi="游明朝"/>
                <w:b/>
                <w:bCs/>
                <w:color w:val="C55A11"/>
                <w:sz w:val="19"/>
                <w:szCs w:val="19"/>
              </w:rPr>
              <w:t xml:space="preserve">+402</w:t>
            </w:r>
          </w:p>
        </w:tc>
      </w:tr>
      <w:tr>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262626"/>
                <w:sz w:val="19"/>
                <w:szCs w:val="19"/>
              </w:rPr>
              <w:t xml:space="preserve">10</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left"/>
            </w:pPr>
            <w:r>
              <w:rPr>
                <w:rFonts w:ascii="游明朝" w:cs="游明朝" w:eastAsia="游明朝" w:hAnsi="游明朝"/>
                <w:b w:val="false"/>
                <w:bCs w:val="false"/>
                <w:color w:val="262626"/>
                <w:sz w:val="19"/>
                <w:szCs w:val="19"/>
              </w:rPr>
              <w:t xml:space="preserve">丸森町</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262626"/>
                <w:sz w:val="19"/>
                <w:szCs w:val="19"/>
              </w:rPr>
              <w:t xml:space="preserve">6,500</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262626"/>
                <w:sz w:val="19"/>
                <w:szCs w:val="19"/>
              </w:rPr>
              <w:t xml:space="preserve">6,060</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262626"/>
                <w:sz w:val="19"/>
                <w:szCs w:val="19"/>
              </w:rPr>
              <w:t xml:space="preserve">+440</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C55A11"/>
                <w:sz w:val="19"/>
                <w:szCs w:val="19"/>
              </w:rPr>
              <w:t xml:space="preserve">+402</w:t>
            </w:r>
          </w:p>
        </w:tc>
      </w:tr>
      <w:tr>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262626"/>
                <w:sz w:val="19"/>
                <w:szCs w:val="19"/>
              </w:rPr>
              <w:t xml:space="preserve">13</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left"/>
            </w:pPr>
            <w:r>
              <w:rPr>
                <w:rFonts w:ascii="游明朝" w:cs="游明朝" w:eastAsia="游明朝" w:hAnsi="游明朝"/>
                <w:b w:val="false"/>
                <w:bCs w:val="false"/>
                <w:color w:val="262626"/>
                <w:sz w:val="19"/>
                <w:szCs w:val="19"/>
              </w:rPr>
              <w:t xml:space="preserve">松島町</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262626"/>
                <w:sz w:val="19"/>
                <w:szCs w:val="19"/>
              </w:rPr>
              <w:t xml:space="preserve">6,400</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262626"/>
                <w:sz w:val="19"/>
                <w:szCs w:val="19"/>
              </w:rPr>
              <w:t xml:space="preserve">6,600</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2E75B6"/>
                <w:sz w:val="19"/>
                <w:szCs w:val="19"/>
              </w:rPr>
              <w:t xml:space="preserve">-200</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C55A11"/>
                <w:sz w:val="19"/>
                <w:szCs w:val="19"/>
              </w:rPr>
              <w:t xml:space="preserve">+302</w:t>
            </w:r>
          </w:p>
        </w:tc>
      </w:tr>
      <w:tr>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262626"/>
                <w:sz w:val="19"/>
                <w:szCs w:val="19"/>
              </w:rPr>
              <w:t xml:space="preserve">14</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left"/>
            </w:pPr>
            <w:r>
              <w:rPr>
                <w:rFonts w:ascii="游明朝" w:cs="游明朝" w:eastAsia="游明朝" w:hAnsi="游明朝"/>
                <w:b w:val="false"/>
                <w:bCs w:val="false"/>
                <w:color w:val="262626"/>
                <w:sz w:val="19"/>
                <w:szCs w:val="19"/>
              </w:rPr>
              <w:t xml:space="preserve">大崎市</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262626"/>
                <w:sz w:val="19"/>
                <w:szCs w:val="19"/>
              </w:rPr>
              <w:t xml:space="preserve">6,370</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262626"/>
                <w:sz w:val="19"/>
                <w:szCs w:val="19"/>
              </w:rPr>
              <w:t xml:space="preserve">6,370</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262626"/>
                <w:sz w:val="19"/>
                <w:szCs w:val="19"/>
              </w:rPr>
              <w:t xml:space="preserve">+0</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C55A11"/>
                <w:sz w:val="19"/>
                <w:szCs w:val="19"/>
              </w:rPr>
              <w:t xml:space="preserve">+272</w:t>
            </w:r>
          </w:p>
        </w:tc>
      </w:tr>
      <w:tr>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262626"/>
                <w:sz w:val="19"/>
                <w:szCs w:val="19"/>
              </w:rPr>
              <w:t xml:space="preserve">15</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left"/>
            </w:pPr>
            <w:r>
              <w:rPr>
                <w:rFonts w:ascii="游明朝" w:cs="游明朝" w:eastAsia="游明朝" w:hAnsi="游明朝"/>
                <w:b w:val="false"/>
                <w:bCs w:val="false"/>
                <w:color w:val="262626"/>
                <w:sz w:val="19"/>
                <w:szCs w:val="19"/>
              </w:rPr>
              <w:t xml:space="preserve">栗原市</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262626"/>
                <w:sz w:val="19"/>
                <w:szCs w:val="19"/>
              </w:rPr>
              <w:t xml:space="preserve">6,300</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262626"/>
                <w:sz w:val="19"/>
                <w:szCs w:val="19"/>
              </w:rPr>
              <w:t xml:space="preserve">6,300</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262626"/>
                <w:sz w:val="19"/>
                <w:szCs w:val="19"/>
              </w:rPr>
              <w:t xml:space="preserve">+0</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C55A11"/>
                <w:sz w:val="19"/>
                <w:szCs w:val="19"/>
              </w:rPr>
              <w:t xml:space="preserve">+202</w:t>
            </w:r>
          </w:p>
        </w:tc>
      </w:tr>
      <w:tr>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262626"/>
                <w:sz w:val="19"/>
                <w:szCs w:val="19"/>
              </w:rPr>
              <w:t xml:space="preserve">16</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left"/>
            </w:pPr>
            <w:r>
              <w:rPr>
                <w:rFonts w:ascii="游明朝" w:cs="游明朝" w:eastAsia="游明朝" w:hAnsi="游明朝"/>
                <w:b w:val="false"/>
                <w:bCs w:val="false"/>
                <w:color w:val="262626"/>
                <w:sz w:val="19"/>
                <w:szCs w:val="19"/>
              </w:rPr>
              <w:t xml:space="preserve">多賀城市</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262626"/>
                <w:sz w:val="19"/>
                <w:szCs w:val="19"/>
              </w:rPr>
              <w:t xml:space="preserve">6,200</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262626"/>
                <w:sz w:val="19"/>
                <w:szCs w:val="19"/>
              </w:rPr>
              <w:t xml:space="preserve">5,800</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262626"/>
                <w:sz w:val="19"/>
                <w:szCs w:val="19"/>
              </w:rPr>
              <w:t xml:space="preserve">+400</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C55A11"/>
                <w:sz w:val="19"/>
                <w:szCs w:val="19"/>
              </w:rPr>
              <w:t xml:space="preserve">+102</w:t>
            </w:r>
          </w:p>
        </w:tc>
      </w:tr>
      <w:tr>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262626"/>
                <w:sz w:val="19"/>
                <w:szCs w:val="19"/>
              </w:rPr>
              <w:t xml:space="preserve">17</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left"/>
            </w:pPr>
            <w:r>
              <w:rPr>
                <w:rFonts w:ascii="游明朝" w:cs="游明朝" w:eastAsia="游明朝" w:hAnsi="游明朝"/>
                <w:b w:val="false"/>
                <w:bCs w:val="false"/>
                <w:color w:val="262626"/>
                <w:sz w:val="19"/>
                <w:szCs w:val="19"/>
              </w:rPr>
              <w:t xml:space="preserve">女川町</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262626"/>
                <w:sz w:val="19"/>
                <w:szCs w:val="19"/>
              </w:rPr>
              <w:t xml:space="preserve">6,100</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262626"/>
                <w:sz w:val="19"/>
                <w:szCs w:val="19"/>
              </w:rPr>
              <w:t xml:space="preserve">5,800</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262626"/>
                <w:sz w:val="19"/>
                <w:szCs w:val="19"/>
              </w:rPr>
              <w:t xml:space="preserve">+300</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C55A11"/>
                <w:sz w:val="19"/>
                <w:szCs w:val="19"/>
              </w:rPr>
              <w:t xml:space="preserve">+2</w:t>
            </w:r>
          </w:p>
        </w:tc>
      </w:tr>
      <w:tr>
        <w:tc>
          <w:tcPr>
            <w:tcBorders>
              <w:top w:val="single" w:color="808080" w:sz="4"/>
              <w:left w:val="single" w:color="808080" w:sz="4"/>
              <w:bottom w:val="single" w:color="808080" w:sz="4"/>
              <w:right w:val="single" w:color="808080" w:sz="4"/>
            </w:tcBorders>
            <w:shd w:fill="BDD7EE" w:val="clear"/>
            <w:tcMar>
              <w:top w:type="dxa" w:w="60"/>
              <w:left w:type="dxa" w:w="110"/>
              <w:bottom w:type="dxa" w:w="60"/>
              <w:right w:type="dxa" w:w="110"/>
            </w:tcMar>
            <w:vAlign w:val="center"/>
          </w:tcPr>
          <w:p>
            <w:pPr>
              <w:jc w:val="center"/>
            </w:pPr>
            <w:r>
              <w:rPr>
                <w:rFonts w:ascii="游明朝" w:cs="游明朝" w:eastAsia="游明朝" w:hAnsi="游明朝"/>
                <w:b/>
                <w:bCs/>
                <w:color w:val="262626"/>
                <w:sz w:val="19"/>
                <w:szCs w:val="19"/>
              </w:rPr>
              <w:t xml:space="preserve">—</w:t>
            </w:r>
          </w:p>
        </w:tc>
        <w:tc>
          <w:tcPr>
            <w:tcBorders>
              <w:top w:val="single" w:color="808080" w:sz="4"/>
              <w:left w:val="single" w:color="808080" w:sz="4"/>
              <w:bottom w:val="single" w:color="808080" w:sz="4"/>
              <w:right w:val="single" w:color="808080" w:sz="4"/>
            </w:tcBorders>
            <w:shd w:fill="BDD7EE" w:val="clear"/>
            <w:tcMar>
              <w:top w:type="dxa" w:w="60"/>
              <w:left w:type="dxa" w:w="110"/>
              <w:bottom w:type="dxa" w:w="60"/>
              <w:right w:type="dxa" w:w="110"/>
            </w:tcMar>
            <w:vAlign w:val="center"/>
          </w:tcPr>
          <w:p>
            <w:pPr>
              <w:jc w:val="left"/>
            </w:pPr>
            <w:r>
              <w:rPr>
                <w:rFonts w:ascii="游明朝" w:cs="游明朝" w:eastAsia="游明朝" w:hAnsi="游明朝"/>
                <w:b/>
                <w:bCs/>
                <w:color w:val="262626"/>
                <w:sz w:val="19"/>
                <w:szCs w:val="19"/>
              </w:rPr>
              <w:t xml:space="preserve">県加重平均</w:t>
            </w:r>
          </w:p>
        </w:tc>
        <w:tc>
          <w:tcPr>
            <w:tcBorders>
              <w:top w:val="single" w:color="808080" w:sz="4"/>
              <w:left w:val="single" w:color="808080" w:sz="4"/>
              <w:bottom w:val="single" w:color="808080" w:sz="4"/>
              <w:right w:val="single" w:color="808080" w:sz="4"/>
            </w:tcBorders>
            <w:shd w:fill="BDD7EE" w:val="clear"/>
            <w:tcMar>
              <w:top w:type="dxa" w:w="60"/>
              <w:left w:type="dxa" w:w="110"/>
              <w:bottom w:type="dxa" w:w="60"/>
              <w:right w:type="dxa" w:w="110"/>
            </w:tcMar>
            <w:vAlign w:val="center"/>
          </w:tcPr>
          <w:p>
            <w:pPr>
              <w:jc w:val="center"/>
            </w:pPr>
            <w:r>
              <w:rPr>
                <w:rFonts w:ascii="游明朝" w:cs="游明朝" w:eastAsia="游明朝" w:hAnsi="游明朝"/>
                <w:b/>
                <w:bCs/>
                <w:color w:val="262626"/>
                <w:sz w:val="19"/>
                <w:szCs w:val="19"/>
              </w:rPr>
              <w:t xml:space="preserve">6,098</w:t>
            </w:r>
          </w:p>
        </w:tc>
        <w:tc>
          <w:tcPr>
            <w:tcBorders>
              <w:top w:val="single" w:color="808080" w:sz="4"/>
              <w:left w:val="single" w:color="808080" w:sz="4"/>
              <w:bottom w:val="single" w:color="808080" w:sz="4"/>
              <w:right w:val="single" w:color="808080" w:sz="4"/>
            </w:tcBorders>
            <w:shd w:fill="BDD7EE" w:val="clear"/>
            <w:tcMar>
              <w:top w:type="dxa" w:w="60"/>
              <w:left w:type="dxa" w:w="110"/>
              <w:bottom w:type="dxa" w:w="60"/>
              <w:right w:type="dxa" w:w="110"/>
            </w:tcMar>
            <w:vAlign w:val="center"/>
          </w:tcPr>
          <w:p>
            <w:pPr>
              <w:jc w:val="center"/>
            </w:pPr>
            <w:r>
              <w:rPr>
                <w:rFonts w:ascii="游明朝" w:cs="游明朝" w:eastAsia="游明朝" w:hAnsi="游明朝"/>
                <w:b w:val="false"/>
                <w:bCs w:val="false"/>
                <w:color w:val="262626"/>
                <w:sz w:val="19"/>
                <w:szCs w:val="19"/>
              </w:rPr>
              <w:t xml:space="preserve">5,939</w:t>
            </w:r>
          </w:p>
        </w:tc>
        <w:tc>
          <w:tcPr>
            <w:tcBorders>
              <w:top w:val="single" w:color="808080" w:sz="4"/>
              <w:left w:val="single" w:color="808080" w:sz="4"/>
              <w:bottom w:val="single" w:color="808080" w:sz="4"/>
              <w:right w:val="single" w:color="808080" w:sz="4"/>
            </w:tcBorders>
            <w:shd w:fill="BDD7EE" w:val="clear"/>
            <w:tcMar>
              <w:top w:type="dxa" w:w="60"/>
              <w:left w:type="dxa" w:w="110"/>
              <w:bottom w:type="dxa" w:w="60"/>
              <w:right w:type="dxa" w:w="110"/>
            </w:tcMar>
            <w:vAlign w:val="center"/>
          </w:tcPr>
          <w:p>
            <w:pPr>
              <w:jc w:val="center"/>
            </w:pPr>
            <w:r>
              <w:rPr>
                <w:rFonts w:ascii="游明朝" w:cs="游明朝" w:eastAsia="游明朝" w:hAnsi="游明朝"/>
                <w:b w:val="false"/>
                <w:bCs w:val="false"/>
                <w:color w:val="262626"/>
                <w:sz w:val="19"/>
                <w:szCs w:val="19"/>
              </w:rPr>
              <w:t xml:space="preserve">+159</w:t>
            </w:r>
          </w:p>
        </w:tc>
        <w:tc>
          <w:tcPr>
            <w:tcBorders>
              <w:top w:val="single" w:color="808080" w:sz="4"/>
              <w:left w:val="single" w:color="808080" w:sz="4"/>
              <w:bottom w:val="single" w:color="808080" w:sz="4"/>
              <w:right w:val="single" w:color="808080" w:sz="4"/>
            </w:tcBorders>
            <w:shd w:fill="BDD7EE" w:val="clear"/>
            <w:tcMar>
              <w:top w:type="dxa" w:w="60"/>
              <w:left w:type="dxa" w:w="110"/>
              <w:bottom w:type="dxa" w:w="60"/>
              <w:right w:type="dxa" w:w="110"/>
            </w:tcMar>
            <w:vAlign w:val="center"/>
          </w:tcPr>
          <w:p>
            <w:pPr>
              <w:jc w:val="center"/>
            </w:pPr>
            <w:r>
              <w:rPr>
                <w:rFonts w:ascii="游明朝" w:cs="游明朝" w:eastAsia="游明朝" w:hAnsi="游明朝"/>
                <w:b w:val="false"/>
                <w:bCs w:val="false"/>
                <w:color w:val="262626"/>
                <w:sz w:val="19"/>
                <w:szCs w:val="19"/>
              </w:rPr>
              <w:t xml:space="preserve">—</w:t>
            </w:r>
          </w:p>
        </w:tc>
      </w:tr>
      <w:tr>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262626"/>
                <w:sz w:val="19"/>
                <w:szCs w:val="19"/>
              </w:rPr>
              <w:t xml:space="preserve">18</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left"/>
            </w:pPr>
            <w:r>
              <w:rPr>
                <w:rFonts w:ascii="游明朝" w:cs="游明朝" w:eastAsia="游明朝" w:hAnsi="游明朝"/>
                <w:b w:val="false"/>
                <w:bCs w:val="false"/>
                <w:color w:val="262626"/>
                <w:sz w:val="19"/>
                <w:szCs w:val="19"/>
              </w:rPr>
              <w:t xml:space="preserve">仙台市</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262626"/>
                <w:sz w:val="19"/>
                <w:szCs w:val="19"/>
              </w:rPr>
              <w:t xml:space="preserve">6,079</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262626"/>
                <w:sz w:val="19"/>
                <w:szCs w:val="19"/>
              </w:rPr>
              <w:t xml:space="preserve">6,001</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262626"/>
                <w:sz w:val="19"/>
                <w:szCs w:val="19"/>
              </w:rPr>
              <w:t xml:space="preserve">+78</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2E75B6"/>
                <w:sz w:val="19"/>
                <w:szCs w:val="19"/>
              </w:rPr>
              <w:t xml:space="preserve">-19</w:t>
            </w:r>
          </w:p>
        </w:tc>
      </w:tr>
      <w:tr>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262626"/>
                <w:sz w:val="19"/>
                <w:szCs w:val="19"/>
              </w:rPr>
              <w:t xml:space="preserve">19</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left"/>
            </w:pPr>
            <w:r>
              <w:rPr>
                <w:rFonts w:ascii="游明朝" w:cs="游明朝" w:eastAsia="游明朝" w:hAnsi="游明朝"/>
                <w:b w:val="false"/>
                <w:bCs w:val="false"/>
                <w:color w:val="262626"/>
                <w:sz w:val="19"/>
                <w:szCs w:val="19"/>
              </w:rPr>
              <w:t xml:space="preserve">塩竈市</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262626"/>
                <w:sz w:val="19"/>
                <w:szCs w:val="19"/>
              </w:rPr>
              <w:t xml:space="preserve">6,010</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262626"/>
                <w:sz w:val="19"/>
                <w:szCs w:val="19"/>
              </w:rPr>
              <w:t xml:space="preserve">6,000</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262626"/>
                <w:sz w:val="19"/>
                <w:szCs w:val="19"/>
              </w:rPr>
              <w:t xml:space="preserve">+10</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2E75B6"/>
                <w:sz w:val="19"/>
                <w:szCs w:val="19"/>
              </w:rPr>
              <w:t xml:space="preserve">-88</w:t>
            </w:r>
          </w:p>
        </w:tc>
      </w:tr>
      <w:tr>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262626"/>
                <w:sz w:val="19"/>
                <w:szCs w:val="19"/>
              </w:rPr>
              <w:t xml:space="preserve">20</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left"/>
            </w:pPr>
            <w:r>
              <w:rPr>
                <w:rFonts w:ascii="游明朝" w:cs="游明朝" w:eastAsia="游明朝" w:hAnsi="游明朝"/>
                <w:b w:val="false"/>
                <w:bCs w:val="false"/>
                <w:color w:val="262626"/>
                <w:sz w:val="19"/>
                <w:szCs w:val="19"/>
              </w:rPr>
              <w:t xml:space="preserve">涌谷町</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262626"/>
                <w:sz w:val="19"/>
                <w:szCs w:val="19"/>
              </w:rPr>
              <w:t xml:space="preserve">6,000</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262626"/>
                <w:sz w:val="19"/>
                <w:szCs w:val="19"/>
              </w:rPr>
              <w:t xml:space="preserve">6,000</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262626"/>
                <w:sz w:val="19"/>
                <w:szCs w:val="19"/>
              </w:rPr>
              <w:t xml:space="preserve">+0</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2E75B6"/>
                <w:sz w:val="19"/>
                <w:szCs w:val="19"/>
              </w:rPr>
              <w:t xml:space="preserve">-98</w:t>
            </w:r>
          </w:p>
        </w:tc>
      </w:tr>
      <w:tr>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262626"/>
                <w:sz w:val="19"/>
                <w:szCs w:val="19"/>
              </w:rPr>
              <w:t xml:space="preserve">20</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left"/>
            </w:pPr>
            <w:r>
              <w:rPr>
                <w:rFonts w:ascii="游明朝" w:cs="游明朝" w:eastAsia="游明朝" w:hAnsi="游明朝"/>
                <w:b w:val="false"/>
                <w:bCs w:val="false"/>
                <w:color w:val="262626"/>
                <w:sz w:val="19"/>
                <w:szCs w:val="19"/>
              </w:rPr>
              <w:t xml:space="preserve">南三陸町</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262626"/>
                <w:sz w:val="19"/>
                <w:szCs w:val="19"/>
              </w:rPr>
              <w:t xml:space="preserve">6,000</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262626"/>
                <w:sz w:val="19"/>
                <w:szCs w:val="19"/>
              </w:rPr>
              <w:t xml:space="preserve">6,000</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262626"/>
                <w:sz w:val="19"/>
                <w:szCs w:val="19"/>
              </w:rPr>
              <w:t xml:space="preserve">+0</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2E75B6"/>
                <w:sz w:val="19"/>
                <w:szCs w:val="19"/>
              </w:rPr>
              <w:t xml:space="preserve">-98</w:t>
            </w:r>
          </w:p>
        </w:tc>
      </w:tr>
      <w:tr>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262626"/>
                <w:sz w:val="19"/>
                <w:szCs w:val="19"/>
              </w:rPr>
              <w:t xml:space="preserve">22</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left"/>
            </w:pPr>
            <w:r>
              <w:rPr>
                <w:rFonts w:ascii="游明朝" w:cs="游明朝" w:eastAsia="游明朝" w:hAnsi="游明朝"/>
                <w:b w:val="false"/>
                <w:bCs w:val="false"/>
                <w:color w:val="262626"/>
                <w:sz w:val="19"/>
                <w:szCs w:val="19"/>
              </w:rPr>
              <w:t xml:space="preserve">七ヶ宿町</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262626"/>
                <w:sz w:val="19"/>
                <w:szCs w:val="19"/>
              </w:rPr>
              <w:t xml:space="preserve">5,950</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262626"/>
                <w:sz w:val="19"/>
                <w:szCs w:val="19"/>
              </w:rPr>
              <w:t xml:space="preserve">5,450</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262626"/>
                <w:sz w:val="19"/>
                <w:szCs w:val="19"/>
              </w:rPr>
              <w:t xml:space="preserve">+500</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2E75B6"/>
                <w:sz w:val="19"/>
                <w:szCs w:val="19"/>
              </w:rPr>
              <w:t xml:space="preserve">-148</w:t>
            </w:r>
          </w:p>
        </w:tc>
      </w:tr>
      <w:tr>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262626"/>
                <w:sz w:val="19"/>
                <w:szCs w:val="19"/>
              </w:rPr>
              <w:t xml:space="preserve">23</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left"/>
            </w:pPr>
            <w:r>
              <w:rPr>
                <w:rFonts w:ascii="游明朝" w:cs="游明朝" w:eastAsia="游明朝" w:hAnsi="游明朝"/>
                <w:b w:val="false"/>
                <w:bCs w:val="false"/>
                <w:color w:val="262626"/>
                <w:sz w:val="19"/>
                <w:szCs w:val="19"/>
              </w:rPr>
              <w:t xml:space="preserve">石巻市</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262626"/>
                <w:sz w:val="19"/>
                <w:szCs w:val="19"/>
              </w:rPr>
              <w:t xml:space="preserve">5,900</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262626"/>
                <w:sz w:val="19"/>
                <w:szCs w:val="19"/>
              </w:rPr>
              <w:t xml:space="preserve">5,900</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262626"/>
                <w:sz w:val="19"/>
                <w:szCs w:val="19"/>
              </w:rPr>
              <w:t xml:space="preserve">+0</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2E75B6"/>
                <w:sz w:val="19"/>
                <w:szCs w:val="19"/>
              </w:rPr>
              <w:t xml:space="preserve">-198</w:t>
            </w:r>
          </w:p>
        </w:tc>
      </w:tr>
      <w:tr>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262626"/>
                <w:sz w:val="19"/>
                <w:szCs w:val="19"/>
              </w:rPr>
              <w:t xml:space="preserve">23</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left"/>
            </w:pPr>
            <w:r>
              <w:rPr>
                <w:rFonts w:ascii="游明朝" w:cs="游明朝" w:eastAsia="游明朝" w:hAnsi="游明朝"/>
                <w:b w:val="false"/>
                <w:bCs w:val="false"/>
                <w:color w:val="262626"/>
                <w:sz w:val="19"/>
                <w:szCs w:val="19"/>
              </w:rPr>
              <w:t xml:space="preserve">気仙沼市</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262626"/>
                <w:sz w:val="19"/>
                <w:szCs w:val="19"/>
              </w:rPr>
              <w:t xml:space="preserve">5,900</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262626"/>
                <w:sz w:val="19"/>
                <w:szCs w:val="19"/>
              </w:rPr>
              <w:t xml:space="preserve">5,500</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262626"/>
                <w:sz w:val="19"/>
                <w:szCs w:val="19"/>
              </w:rPr>
              <w:t xml:space="preserve">+400</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2E75B6"/>
                <w:sz w:val="19"/>
                <w:szCs w:val="19"/>
              </w:rPr>
              <w:t xml:space="preserve">-198</w:t>
            </w:r>
          </w:p>
        </w:tc>
      </w:tr>
      <w:tr>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262626"/>
                <w:sz w:val="19"/>
                <w:szCs w:val="19"/>
              </w:rPr>
              <w:t xml:space="preserve">23</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left"/>
            </w:pPr>
            <w:r>
              <w:rPr>
                <w:rFonts w:ascii="游明朝" w:cs="游明朝" w:eastAsia="游明朝" w:hAnsi="游明朝"/>
                <w:b w:val="false"/>
                <w:bCs w:val="false"/>
                <w:color w:val="262626"/>
                <w:sz w:val="19"/>
                <w:szCs w:val="19"/>
              </w:rPr>
              <w:t xml:space="preserve">東松島市</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262626"/>
                <w:sz w:val="19"/>
                <w:szCs w:val="19"/>
              </w:rPr>
              <w:t xml:space="preserve">5,900</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262626"/>
                <w:sz w:val="19"/>
                <w:szCs w:val="19"/>
              </w:rPr>
              <w:t xml:space="preserve">5,500</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262626"/>
                <w:sz w:val="19"/>
                <w:szCs w:val="19"/>
              </w:rPr>
              <w:t xml:space="preserve">+400</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2E75B6"/>
                <w:sz w:val="19"/>
                <w:szCs w:val="19"/>
              </w:rPr>
              <w:t xml:space="preserve">-198</w:t>
            </w:r>
          </w:p>
        </w:tc>
      </w:tr>
      <w:tr>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262626"/>
                <w:sz w:val="19"/>
                <w:szCs w:val="19"/>
              </w:rPr>
              <w:t xml:space="preserve">26</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left"/>
            </w:pPr>
            <w:r>
              <w:rPr>
                <w:rFonts w:ascii="游明朝" w:cs="游明朝" w:eastAsia="游明朝" w:hAnsi="游明朝"/>
                <w:b w:val="false"/>
                <w:bCs w:val="false"/>
                <w:color w:val="262626"/>
                <w:sz w:val="19"/>
                <w:szCs w:val="19"/>
              </w:rPr>
              <w:t xml:space="preserve">角田市</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262626"/>
                <w:sz w:val="19"/>
                <w:szCs w:val="19"/>
              </w:rPr>
              <w:t xml:space="preserve">5,800</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262626"/>
                <w:sz w:val="19"/>
                <w:szCs w:val="19"/>
              </w:rPr>
              <w:t xml:space="preserve">5,700</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262626"/>
                <w:sz w:val="19"/>
                <w:szCs w:val="19"/>
              </w:rPr>
              <w:t xml:space="preserve">+100</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2E75B6"/>
                <w:sz w:val="19"/>
                <w:szCs w:val="19"/>
              </w:rPr>
              <w:t xml:space="preserve">-298</w:t>
            </w:r>
          </w:p>
        </w:tc>
      </w:tr>
      <w:tr>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262626"/>
                <w:sz w:val="19"/>
                <w:szCs w:val="19"/>
              </w:rPr>
              <w:t xml:space="preserve">26</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left"/>
            </w:pPr>
            <w:r>
              <w:rPr>
                <w:rFonts w:ascii="游明朝" w:cs="游明朝" w:eastAsia="游明朝" w:hAnsi="游明朝"/>
                <w:b w:val="false"/>
                <w:bCs w:val="false"/>
                <w:color w:val="262626"/>
                <w:sz w:val="19"/>
                <w:szCs w:val="19"/>
              </w:rPr>
              <w:t xml:space="preserve">美里町</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262626"/>
                <w:sz w:val="19"/>
                <w:szCs w:val="19"/>
              </w:rPr>
              <w:t xml:space="preserve">5,800</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262626"/>
                <w:sz w:val="19"/>
                <w:szCs w:val="19"/>
              </w:rPr>
              <w:t xml:space="preserve">5,800</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262626"/>
                <w:sz w:val="19"/>
                <w:szCs w:val="19"/>
              </w:rPr>
              <w:t xml:space="preserve">+0</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2E75B6"/>
                <w:sz w:val="19"/>
                <w:szCs w:val="19"/>
              </w:rPr>
              <w:t xml:space="preserve">-298</w:t>
            </w:r>
          </w:p>
        </w:tc>
      </w:tr>
      <w:tr>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262626"/>
                <w:sz w:val="19"/>
                <w:szCs w:val="19"/>
              </w:rPr>
              <w:t xml:space="preserve">28</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left"/>
            </w:pPr>
            <w:r>
              <w:rPr>
                <w:rFonts w:ascii="游明朝" w:cs="游明朝" w:eastAsia="游明朝" w:hAnsi="游明朝"/>
                <w:b w:val="false"/>
                <w:bCs w:val="false"/>
                <w:color w:val="262626"/>
                <w:sz w:val="19"/>
                <w:szCs w:val="19"/>
              </w:rPr>
              <w:t xml:space="preserve">富谷市</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262626"/>
                <w:sz w:val="19"/>
                <w:szCs w:val="19"/>
              </w:rPr>
              <w:t xml:space="preserve">5,750</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262626"/>
                <w:sz w:val="19"/>
                <w:szCs w:val="19"/>
              </w:rPr>
              <w:t xml:space="preserve">5,750</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262626"/>
                <w:sz w:val="19"/>
                <w:szCs w:val="19"/>
              </w:rPr>
              <w:t xml:space="preserve">+0</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2E75B6"/>
                <w:sz w:val="19"/>
                <w:szCs w:val="19"/>
              </w:rPr>
              <w:t xml:space="preserve">-348</w:t>
            </w:r>
          </w:p>
        </w:tc>
      </w:tr>
      <w:tr>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262626"/>
                <w:sz w:val="19"/>
                <w:szCs w:val="19"/>
              </w:rPr>
              <w:t xml:space="preserve">29</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left"/>
            </w:pPr>
            <w:r>
              <w:rPr>
                <w:rFonts w:ascii="游明朝" w:cs="游明朝" w:eastAsia="游明朝" w:hAnsi="游明朝"/>
                <w:b w:val="false"/>
                <w:bCs w:val="false"/>
                <w:color w:val="262626"/>
                <w:sz w:val="19"/>
                <w:szCs w:val="19"/>
              </w:rPr>
              <w:t xml:space="preserve">白石市</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262626"/>
                <w:sz w:val="19"/>
                <w:szCs w:val="19"/>
              </w:rPr>
              <w:t xml:space="preserve">5,600</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262626"/>
                <w:sz w:val="19"/>
                <w:szCs w:val="19"/>
              </w:rPr>
              <w:t xml:space="preserve">5,600</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262626"/>
                <w:sz w:val="19"/>
                <w:szCs w:val="19"/>
              </w:rPr>
              <w:t xml:space="preserve">+0</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2E75B6"/>
                <w:sz w:val="19"/>
                <w:szCs w:val="19"/>
              </w:rPr>
              <w:t xml:space="preserve">-498</w:t>
            </w:r>
          </w:p>
        </w:tc>
      </w:tr>
      <w:tr>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262626"/>
                <w:sz w:val="19"/>
                <w:szCs w:val="19"/>
              </w:rPr>
              <w:t xml:space="preserve">29</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left"/>
            </w:pPr>
            <w:r>
              <w:rPr>
                <w:rFonts w:ascii="游明朝" w:cs="游明朝" w:eastAsia="游明朝" w:hAnsi="游明朝"/>
                <w:b w:val="false"/>
                <w:bCs w:val="false"/>
                <w:color w:val="262626"/>
                <w:sz w:val="19"/>
                <w:szCs w:val="19"/>
              </w:rPr>
              <w:t xml:space="preserve">柴田町</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262626"/>
                <w:sz w:val="19"/>
                <w:szCs w:val="19"/>
              </w:rPr>
              <w:t xml:space="preserve">5,600</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262626"/>
                <w:sz w:val="19"/>
                <w:szCs w:val="19"/>
              </w:rPr>
              <w:t xml:space="preserve">5,600</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262626"/>
                <w:sz w:val="19"/>
                <w:szCs w:val="19"/>
              </w:rPr>
              <w:t xml:space="preserve">+0</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2E75B6"/>
                <w:sz w:val="19"/>
                <w:szCs w:val="19"/>
              </w:rPr>
              <w:t xml:space="preserve">-498</w:t>
            </w:r>
          </w:p>
        </w:tc>
      </w:tr>
      <w:tr>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262626"/>
                <w:sz w:val="19"/>
                <w:szCs w:val="19"/>
              </w:rPr>
              <w:t xml:space="preserve">29</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left"/>
            </w:pPr>
            <w:r>
              <w:rPr>
                <w:rFonts w:ascii="游明朝" w:cs="游明朝" w:eastAsia="游明朝" w:hAnsi="游明朝"/>
                <w:b w:val="false"/>
                <w:bCs w:val="false"/>
                <w:color w:val="262626"/>
                <w:sz w:val="19"/>
                <w:szCs w:val="19"/>
              </w:rPr>
              <w:t xml:space="preserve">亘理町</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262626"/>
                <w:sz w:val="19"/>
                <w:szCs w:val="19"/>
              </w:rPr>
              <w:t xml:space="preserve">5,600</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262626"/>
                <w:sz w:val="19"/>
                <w:szCs w:val="19"/>
              </w:rPr>
              <w:t xml:space="preserve">5,850</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2E75B6"/>
                <w:sz w:val="19"/>
                <w:szCs w:val="19"/>
              </w:rPr>
              <w:t xml:space="preserve">-250</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2E75B6"/>
                <w:sz w:val="19"/>
                <w:szCs w:val="19"/>
              </w:rPr>
              <w:t xml:space="preserve">-498</w:t>
            </w:r>
          </w:p>
        </w:tc>
      </w:tr>
      <w:tr>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262626"/>
                <w:sz w:val="19"/>
                <w:szCs w:val="19"/>
              </w:rPr>
              <w:t xml:space="preserve">32</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left"/>
            </w:pPr>
            <w:r>
              <w:rPr>
                <w:rFonts w:ascii="游明朝" w:cs="游明朝" w:eastAsia="游明朝" w:hAnsi="游明朝"/>
                <w:b w:val="false"/>
                <w:bCs w:val="false"/>
                <w:color w:val="262626"/>
                <w:sz w:val="19"/>
                <w:szCs w:val="19"/>
              </w:rPr>
              <w:t xml:space="preserve">山元町</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262626"/>
                <w:sz w:val="19"/>
                <w:szCs w:val="19"/>
              </w:rPr>
              <w:t xml:space="preserve">5,500</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262626"/>
                <w:sz w:val="19"/>
                <w:szCs w:val="19"/>
              </w:rPr>
              <w:t xml:space="preserve">5,500</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262626"/>
                <w:sz w:val="19"/>
                <w:szCs w:val="19"/>
              </w:rPr>
              <w:t xml:space="preserve">+0</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2E75B6"/>
                <w:sz w:val="19"/>
                <w:szCs w:val="19"/>
              </w:rPr>
              <w:t xml:space="preserve">-598</w:t>
            </w:r>
          </w:p>
        </w:tc>
      </w:tr>
      <w:tr>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262626"/>
                <w:sz w:val="19"/>
                <w:szCs w:val="19"/>
              </w:rPr>
              <w:t xml:space="preserve">33</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left"/>
            </w:pPr>
            <w:r>
              <w:rPr>
                <w:rFonts w:ascii="游明朝" w:cs="游明朝" w:eastAsia="游明朝" w:hAnsi="游明朝"/>
                <w:b w:val="false"/>
                <w:bCs w:val="false"/>
                <w:color w:val="262626"/>
                <w:sz w:val="19"/>
                <w:szCs w:val="19"/>
              </w:rPr>
              <w:t xml:space="preserve">蔵王町</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262626"/>
                <w:sz w:val="19"/>
                <w:szCs w:val="19"/>
              </w:rPr>
              <w:t xml:space="preserve">5,400</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262626"/>
                <w:sz w:val="19"/>
                <w:szCs w:val="19"/>
              </w:rPr>
              <w:t xml:space="preserve">4,800</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262626"/>
                <w:sz w:val="19"/>
                <w:szCs w:val="19"/>
              </w:rPr>
              <w:t xml:space="preserve">+600</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2E75B6"/>
                <w:sz w:val="19"/>
                <w:szCs w:val="19"/>
              </w:rPr>
              <w:t xml:space="preserve">-698</w:t>
            </w:r>
          </w:p>
        </w:tc>
      </w:tr>
      <w:tr>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262626"/>
                <w:sz w:val="19"/>
                <w:szCs w:val="19"/>
              </w:rPr>
              <w:t xml:space="preserve">33</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left"/>
            </w:pPr>
            <w:r>
              <w:rPr>
                <w:rFonts w:ascii="游明朝" w:cs="游明朝" w:eastAsia="游明朝" w:hAnsi="游明朝"/>
                <w:b w:val="false"/>
                <w:bCs w:val="false"/>
                <w:color w:val="262626"/>
                <w:sz w:val="19"/>
                <w:szCs w:val="19"/>
              </w:rPr>
              <w:t xml:space="preserve">利府町</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262626"/>
                <w:sz w:val="19"/>
                <w:szCs w:val="19"/>
              </w:rPr>
              <w:t xml:space="preserve">5,400</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262626"/>
                <w:sz w:val="19"/>
                <w:szCs w:val="19"/>
              </w:rPr>
              <w:t xml:space="preserve">5,400</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262626"/>
                <w:sz w:val="19"/>
                <w:szCs w:val="19"/>
              </w:rPr>
              <w:t xml:space="preserve">+0</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2E75B6"/>
                <w:sz w:val="19"/>
                <w:szCs w:val="19"/>
              </w:rPr>
              <w:t xml:space="preserve">-698</w:t>
            </w:r>
          </w:p>
        </w:tc>
      </w:tr>
      <w:tr>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262626"/>
                <w:sz w:val="19"/>
                <w:szCs w:val="19"/>
              </w:rPr>
              <w:t xml:space="preserve">35</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left"/>
            </w:pPr>
            <w:r>
              <w:rPr>
                <w:rFonts w:ascii="游明朝" w:cs="游明朝" w:eastAsia="游明朝" w:hAnsi="游明朝"/>
                <w:b w:val="false"/>
                <w:bCs w:val="false"/>
                <w:color w:val="262626"/>
                <w:sz w:val="19"/>
                <w:szCs w:val="19"/>
              </w:rPr>
              <w:t xml:space="preserve">大河原町</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262626"/>
                <w:sz w:val="19"/>
                <w:szCs w:val="19"/>
              </w:rPr>
              <w:t xml:space="preserve">4,000</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262626"/>
                <w:sz w:val="19"/>
                <w:szCs w:val="19"/>
              </w:rPr>
              <w:t xml:space="preserve">3,800</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262626"/>
                <w:sz w:val="19"/>
                <w:szCs w:val="19"/>
              </w:rPr>
              <w:t xml:space="preserve">+200</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2E75B6"/>
                <w:sz w:val="19"/>
                <w:szCs w:val="19"/>
              </w:rPr>
              <w:t xml:space="preserve">-2098</w:t>
            </w:r>
          </w:p>
        </w:tc>
      </w:tr>
    </w:tbl>
    <w:p>
      <w:pPr>
        <w:spacing w:after="120"/>
      </w:pPr>
      <w:r>
        <w:rPr>
          <w:rFonts w:ascii="游明朝" w:cs="游明朝" w:eastAsia="游明朝" w:hAnsi="游明朝"/>
          <w:i/>
          <w:iCs/>
          <w:color w:val="808080"/>
          <w:sz w:val="17"/>
          <w:szCs w:val="17"/>
        </w:rPr>
        <w:t xml:space="preserve">出典：宮城県「市町村別保険料（月額）一覧」（第9期R6〜R8／参考：第8期）。順位は同額を同順位として表示。</w:t>
      </w:r>
    </w:p>
    <w:p>
      <w:pPr>
        <w:pBdr>
          <w:left w:val="single" w:color="2E75B6" w:sz="18" w:space="8"/>
        </w:pBdr>
        <w:spacing w:after="100" w:before="220"/>
      </w:pPr>
      <w:r>
        <w:rPr>
          <w:rFonts w:ascii="游ゴシック" w:cs="游ゴシック" w:eastAsia="游ゴシック" w:hAnsi="游ゴシック"/>
          <w:b/>
          <w:bCs/>
          <w:color w:val="1F3864"/>
          <w:sz w:val="23"/>
          <w:szCs w:val="23"/>
        </w:rPr>
        <w:t xml:space="preserve"> 読み取り</w:t>
      </w:r>
    </w:p>
    <w:p>
      <w:pPr>
        <w:spacing w:after="120" w:line="300"/>
        <w:jc w:val="both"/>
      </w:pPr>
      <w:r>
        <w:rPr>
          <w:rFonts w:ascii="游明朝" w:cs="游明朝" w:eastAsia="游明朝" w:hAnsi="游明朝"/>
          <w:b w:val="false"/>
          <w:bCs w:val="false"/>
          <w:color w:val="262626"/>
          <w:sz w:val="21"/>
          <w:szCs w:val="21"/>
        </w:rPr>
        <w:t xml:space="preserve">川崎町6,500円より高い団体は9市町村（登米市・大郷町・名取市・七ヶ浜町・大衡村・色麻町・加美町・大和町・岩沼市）で、川崎町は村田町・丸森町と並んで</w:t>
      </w:r>
      <w:r>
        <w:rPr>
          <w:rFonts w:ascii="游明朝" w:cs="游明朝" w:eastAsia="游明朝" w:hAnsi="游明朝"/>
          <w:b/>
          <w:bCs/>
          <w:color w:val="C55A11"/>
          <w:sz w:val="21"/>
          <w:szCs w:val="21"/>
        </w:rPr>
        <w:t xml:space="preserve">第10〜12位タイ</w:t>
      </w:r>
      <w:r>
        <w:rPr>
          <w:rFonts w:ascii="游明朝" w:cs="游明朝" w:eastAsia="游明朝" w:hAnsi="游明朝"/>
          <w:b w:val="false"/>
          <w:bCs w:val="false"/>
          <w:color w:val="262626"/>
          <w:sz w:val="21"/>
          <w:szCs w:val="21"/>
        </w:rPr>
        <w:t xml:space="preserve">。県加重平均6,098円を上回る団体は17市町村あり、川崎町はその一角を</w:t>
      </w:r>
      <w:r>
        <w:rPr>
          <w:rFonts w:ascii="游明朝" w:cs="游明朝" w:eastAsia="游明朝" w:hAnsi="游明朝"/>
          <w:b/>
          <w:bCs/>
          <w:color w:val="C55A11"/>
          <w:sz w:val="21"/>
          <w:szCs w:val="21"/>
        </w:rPr>
        <w:t xml:space="preserve">+402円</w:t>
      </w:r>
      <w:r>
        <w:rPr>
          <w:rFonts w:ascii="游明朝" w:cs="游明朝" w:eastAsia="游明朝" w:hAnsi="游明朝"/>
          <w:b w:val="false"/>
          <w:bCs w:val="false"/>
          <w:color w:val="262626"/>
          <w:sz w:val="21"/>
          <w:szCs w:val="21"/>
        </w:rPr>
        <w:t xml:space="preserve">で占めます。全国加重平均6,225円と比べても</w:t>
      </w:r>
      <w:r>
        <w:rPr>
          <w:rFonts w:ascii="游明朝" w:cs="游明朝" w:eastAsia="游明朝" w:hAnsi="游明朝"/>
          <w:b/>
          <w:bCs/>
          <w:color w:val="262626"/>
          <w:sz w:val="21"/>
          <w:szCs w:val="21"/>
        </w:rPr>
        <w:t xml:space="preserve">+275円</w:t>
      </w:r>
      <w:r>
        <w:rPr>
          <w:rFonts w:ascii="游明朝" w:cs="游明朝" w:eastAsia="游明朝" w:hAnsi="游明朝"/>
          <w:b w:val="false"/>
          <w:bCs w:val="false"/>
          <w:color w:val="262626"/>
          <w:sz w:val="21"/>
          <w:szCs w:val="21"/>
        </w:rPr>
        <w:t xml:space="preserve">上回ります。</w:t>
      </w:r>
    </w:p>
    <w:p>
      <w:pPr>
        <w:pBdr>
          <w:top w:val="single" w:color="FCE4D6" w:sz="2" w:space="4"/>
          <w:left w:val="single" w:color="C55A11" w:sz="18" w:space="10"/>
          <w:bottom w:val="single" w:color="FCE4D6" w:sz="2" w:space="4"/>
        </w:pBdr>
        <w:shd w:fill="FCE4D6" w:val="clear"/>
        <w:spacing w:after="140" w:before="80"/>
      </w:pPr>
      <w:r>
        <w:rPr>
          <w:rFonts w:ascii="游ゴシック" w:cs="游ゴシック" w:eastAsia="游ゴシック" w:hAnsi="游ゴシック"/>
          <w:b/>
          <w:bCs/>
          <w:color w:val="1F3864"/>
          <w:sz w:val="21"/>
          <w:szCs w:val="21"/>
        </w:rPr>
        <w:t xml:space="preserve">● 川崎町6,500円は「県内上位グループ（上位3分の1圏）」。県平均水準・抑制的水準という表現は実態と整合しない。</w:t>
      </w:r>
    </w:p>
    <w:p>
      <w:r>
        <w:br w:type="page"/>
      </w:r>
    </w:p>
    <w:p>
      <w:pPr>
        <w:pBdr>
          <w:top w:val="single" w:color="1F3864" w:sz="2" w:space="6"/>
          <w:bottom w:val="single" w:color="1F3864" w:sz="2" w:space="6"/>
        </w:pBdr>
        <w:shd w:fill="1F3864" w:val="clear"/>
        <w:spacing w:after="160" w:before="320"/>
      </w:pPr>
      <w:r>
        <w:rPr>
          <w:rFonts w:ascii="游ゴシック" w:cs="游ゴシック" w:eastAsia="游ゴシック" w:hAnsi="游ゴシック"/>
          <w:b/>
          <w:bCs/>
          <w:color w:val="FFC000"/>
          <w:sz w:val="26"/>
          <w:szCs w:val="26"/>
        </w:rPr>
        <w:t xml:space="preserve">  3  </w:t>
      </w:r>
      <w:r>
        <w:rPr>
          <w:rFonts w:ascii="游ゴシック" w:cs="游ゴシック" w:eastAsia="游ゴシック" w:hAnsi="游ゴシック"/>
          <w:b/>
          <w:bCs/>
          <w:color w:val="FFFFFF"/>
          <w:sz w:val="26"/>
          <w:szCs w:val="26"/>
        </w:rPr>
        <w:t xml:space="preserve">仙南圏域9市町での比較（最も適切な比較群）</w:t>
      </w:r>
    </w:p>
    <w:p>
      <w:pPr>
        <w:spacing w:after="120" w:line="300"/>
        <w:jc w:val="both"/>
      </w:pPr>
      <w:r>
        <w:rPr>
          <w:rFonts w:ascii="游明朝" w:cs="游明朝" w:eastAsia="游明朝" w:hAnsi="游明朝"/>
          <w:color w:val="262626"/>
          <w:sz w:val="21"/>
          <w:szCs w:val="21"/>
        </w:rPr>
        <w:t xml:space="preserve">川崎町が属する仙南圏域（老人福祉圏域）は、白石市・角田市の2市と、蔵王町・七ヶ宿町・大河原町・村田町・柴田町・川崎町・丸森町の7町で構成されます。広域連携・施設配置の実態を共有する最も適切な比較群です。</w:t>
      </w:r>
    </w:p>
    <w:p>
      <w:pPr>
        <w:spacing w:after="40" w:before="60"/>
      </w:pPr>
      <w:r>
        <w:rPr>
          <w:rFonts w:ascii="游ゴシック" w:cs="游ゴシック" w:eastAsia="游ゴシック" w:hAnsi="游ゴシック"/>
          <w:b/>
          <w:bCs/>
          <w:color w:val="1F3864"/>
          <w:sz w:val="20"/>
          <w:szCs w:val="20"/>
        </w:rPr>
        <w:t xml:space="preserve">表3-1　仙南圏域9市町 第9期保険料比較（高い順）</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1600"/>
        <w:gridCol w:w="1300"/>
        <w:gridCol w:w="1700"/>
      </w:tblGrid>
      <w:tr>
        <w:trPr>
          <w:tblHeader/>
        </w:trPr>
        <w:tc>
          <w:tcPr>
            <w:tcW w:type="dxa" w:w="2200"/>
            <w:tcBorders>
              <w:top w:val="single" w:color="808080" w:sz="4"/>
              <w:left w:val="single" w:color="808080" w:sz="4"/>
              <w:bottom w:val="single" w:color="808080" w:sz="4"/>
              <w:right w:val="single" w:color="808080" w:sz="4"/>
            </w:tcBorders>
            <w:shd w:fill="1F3864" w:val="clear"/>
            <w:tcMar>
              <w:top w:type="dxa" w:w="60"/>
              <w:left w:type="dxa" w:w="110"/>
              <w:bottom w:type="dxa" w:w="60"/>
              <w:right w:type="dxa" w:w="110"/>
            </w:tcMar>
            <w:vAlign w:val="center"/>
          </w:tcPr>
          <w:p>
            <w:pPr>
              <w:jc w:val="center"/>
            </w:pPr>
            <w:r>
              <w:rPr>
                <w:rFonts w:ascii="游ゴシック" w:cs="游ゴシック" w:eastAsia="游ゴシック" w:hAnsi="游ゴシック"/>
                <w:b/>
                <w:bCs/>
                <w:color w:val="FFFFFF"/>
                <w:sz w:val="19"/>
                <w:szCs w:val="19"/>
              </w:rPr>
              <w:t xml:space="preserve">市町村</w:t>
            </w:r>
          </w:p>
        </w:tc>
        <w:tc>
          <w:tcPr>
            <w:tcW w:type="dxa" w:w="1600"/>
            <w:tcBorders>
              <w:top w:val="single" w:color="808080" w:sz="4"/>
              <w:left w:val="single" w:color="808080" w:sz="4"/>
              <w:bottom w:val="single" w:color="808080" w:sz="4"/>
              <w:right w:val="single" w:color="808080" w:sz="4"/>
            </w:tcBorders>
            <w:shd w:fill="1F3864" w:val="clear"/>
            <w:tcMar>
              <w:top w:type="dxa" w:w="60"/>
              <w:left w:type="dxa" w:w="110"/>
              <w:bottom w:type="dxa" w:w="60"/>
              <w:right w:type="dxa" w:w="110"/>
            </w:tcMar>
            <w:vAlign w:val="center"/>
          </w:tcPr>
          <w:p>
            <w:pPr>
              <w:jc w:val="center"/>
            </w:pPr>
            <w:r>
              <w:rPr>
                <w:rFonts w:ascii="游ゴシック" w:cs="游ゴシック" w:eastAsia="游ゴシック" w:hAnsi="游ゴシック"/>
                <w:b/>
                <w:bCs/>
                <w:color w:val="FFFFFF"/>
                <w:sz w:val="19"/>
                <w:szCs w:val="19"/>
              </w:rPr>
              <w:t xml:space="preserve">第9期(円)</w:t>
            </w:r>
          </w:p>
        </w:tc>
        <w:tc>
          <w:tcPr>
            <w:tcW w:type="dxa" w:w="1600"/>
            <w:tcBorders>
              <w:top w:val="single" w:color="808080" w:sz="4"/>
              <w:left w:val="single" w:color="808080" w:sz="4"/>
              <w:bottom w:val="single" w:color="808080" w:sz="4"/>
              <w:right w:val="single" w:color="808080" w:sz="4"/>
            </w:tcBorders>
            <w:shd w:fill="1F3864" w:val="clear"/>
            <w:tcMar>
              <w:top w:type="dxa" w:w="60"/>
              <w:left w:type="dxa" w:w="110"/>
              <w:bottom w:type="dxa" w:w="60"/>
              <w:right w:type="dxa" w:w="110"/>
            </w:tcMar>
            <w:vAlign w:val="center"/>
          </w:tcPr>
          <w:p>
            <w:pPr>
              <w:jc w:val="center"/>
            </w:pPr>
            <w:r>
              <w:rPr>
                <w:rFonts w:ascii="游ゴシック" w:cs="游ゴシック" w:eastAsia="游ゴシック" w:hAnsi="游ゴシック"/>
                <w:b/>
                <w:bCs/>
                <w:color w:val="FFFFFF"/>
                <w:sz w:val="19"/>
                <w:szCs w:val="19"/>
              </w:rPr>
              <w:t xml:space="preserve">第8期(円)</w:t>
            </w:r>
          </w:p>
        </w:tc>
        <w:tc>
          <w:tcPr>
            <w:tcW w:type="dxa" w:w="1300"/>
            <w:tcBorders>
              <w:top w:val="single" w:color="808080" w:sz="4"/>
              <w:left w:val="single" w:color="808080" w:sz="4"/>
              <w:bottom w:val="single" w:color="808080" w:sz="4"/>
              <w:right w:val="single" w:color="808080" w:sz="4"/>
            </w:tcBorders>
            <w:shd w:fill="1F3864" w:val="clear"/>
            <w:tcMar>
              <w:top w:type="dxa" w:w="60"/>
              <w:left w:type="dxa" w:w="110"/>
              <w:bottom w:type="dxa" w:w="60"/>
              <w:right w:type="dxa" w:w="110"/>
            </w:tcMar>
            <w:vAlign w:val="center"/>
          </w:tcPr>
          <w:p>
            <w:pPr>
              <w:jc w:val="center"/>
            </w:pPr>
            <w:r>
              <w:rPr>
                <w:rFonts w:ascii="游ゴシック" w:cs="游ゴシック" w:eastAsia="游ゴシック" w:hAnsi="游ゴシック"/>
                <w:b/>
                <w:bCs/>
                <w:color w:val="FFFFFF"/>
                <w:sz w:val="19"/>
                <w:szCs w:val="19"/>
              </w:rPr>
              <w:t xml:space="preserve">増減</w:t>
            </w:r>
          </w:p>
        </w:tc>
        <w:tc>
          <w:tcPr>
            <w:tcW w:type="dxa" w:w="1700"/>
            <w:tcBorders>
              <w:top w:val="single" w:color="808080" w:sz="4"/>
              <w:left w:val="single" w:color="808080" w:sz="4"/>
              <w:bottom w:val="single" w:color="808080" w:sz="4"/>
              <w:right w:val="single" w:color="808080" w:sz="4"/>
            </w:tcBorders>
            <w:shd w:fill="1F3864" w:val="clear"/>
            <w:tcMar>
              <w:top w:type="dxa" w:w="60"/>
              <w:left w:type="dxa" w:w="110"/>
              <w:bottom w:type="dxa" w:w="60"/>
              <w:right w:type="dxa" w:w="110"/>
            </w:tcMar>
            <w:vAlign w:val="center"/>
          </w:tcPr>
          <w:p>
            <w:pPr>
              <w:jc w:val="center"/>
            </w:pPr>
            <w:r>
              <w:rPr>
                <w:rFonts w:ascii="游ゴシック" w:cs="游ゴシック" w:eastAsia="游ゴシック" w:hAnsi="游ゴシック"/>
                <w:b/>
                <w:bCs/>
                <w:color w:val="FFFFFF"/>
                <w:sz w:val="19"/>
                <w:szCs w:val="19"/>
              </w:rPr>
              <w:t xml:space="preserve">仙南平均差</w:t>
            </w:r>
          </w:p>
        </w:tc>
      </w:tr>
      <w:tr>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left"/>
            </w:pPr>
            <w:r>
              <w:rPr>
                <w:rFonts w:ascii="游明朝" w:cs="游明朝" w:eastAsia="游明朝" w:hAnsi="游明朝"/>
                <w:b w:val="false"/>
                <w:bCs w:val="false"/>
                <w:color w:val="262626"/>
                <w:sz w:val="19"/>
                <w:szCs w:val="19"/>
              </w:rPr>
              <w:t xml:space="preserve">村田町</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262626"/>
                <w:sz w:val="19"/>
                <w:szCs w:val="19"/>
              </w:rPr>
              <w:t xml:space="preserve">6,500</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262626"/>
                <w:sz w:val="19"/>
                <w:szCs w:val="19"/>
              </w:rPr>
              <w:t xml:space="preserve">6,200</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262626"/>
                <w:sz w:val="19"/>
                <w:szCs w:val="19"/>
              </w:rPr>
              <w:t xml:space="preserve">+300</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C55A11"/>
                <w:sz w:val="19"/>
                <w:szCs w:val="19"/>
              </w:rPr>
              <w:t xml:space="preserve">+739</w:t>
            </w:r>
          </w:p>
        </w:tc>
      </w:tr>
      <w:tr>
        <w:tc>
          <w:tcPr>
            <w:tcBorders>
              <w:top w:val="single" w:color="808080" w:sz="4"/>
              <w:left w:val="single" w:color="808080" w:sz="4"/>
              <w:bottom w:val="single" w:color="808080" w:sz="4"/>
              <w:right w:val="single" w:color="808080" w:sz="4"/>
            </w:tcBorders>
            <w:shd w:fill="FCE4D6" w:val="clear"/>
            <w:tcMar>
              <w:top w:type="dxa" w:w="60"/>
              <w:left w:type="dxa" w:w="110"/>
              <w:bottom w:type="dxa" w:w="60"/>
              <w:right w:type="dxa" w:w="110"/>
            </w:tcMar>
            <w:vAlign w:val="center"/>
          </w:tcPr>
          <w:p>
            <w:pPr>
              <w:jc w:val="left"/>
            </w:pPr>
            <w:r>
              <w:rPr>
                <w:rFonts w:ascii="游明朝" w:cs="游明朝" w:eastAsia="游明朝" w:hAnsi="游明朝"/>
                <w:b/>
                <w:bCs/>
                <w:color w:val="C55A11"/>
                <w:sz w:val="19"/>
                <w:szCs w:val="19"/>
              </w:rPr>
              <w:t xml:space="preserve">川崎町</w:t>
            </w:r>
          </w:p>
        </w:tc>
        <w:tc>
          <w:tcPr>
            <w:tcBorders>
              <w:top w:val="single" w:color="808080" w:sz="4"/>
              <w:left w:val="single" w:color="808080" w:sz="4"/>
              <w:bottom w:val="single" w:color="808080" w:sz="4"/>
              <w:right w:val="single" w:color="808080" w:sz="4"/>
            </w:tcBorders>
            <w:shd w:fill="FCE4D6" w:val="clear"/>
            <w:tcMar>
              <w:top w:type="dxa" w:w="60"/>
              <w:left w:type="dxa" w:w="110"/>
              <w:bottom w:type="dxa" w:w="60"/>
              <w:right w:type="dxa" w:w="110"/>
            </w:tcMar>
            <w:vAlign w:val="center"/>
          </w:tcPr>
          <w:p>
            <w:pPr>
              <w:jc w:val="center"/>
            </w:pPr>
            <w:r>
              <w:rPr>
                <w:rFonts w:ascii="游明朝" w:cs="游明朝" w:eastAsia="游明朝" w:hAnsi="游明朝"/>
                <w:b/>
                <w:bCs/>
                <w:color w:val="262626"/>
                <w:sz w:val="19"/>
                <w:szCs w:val="19"/>
              </w:rPr>
              <w:t xml:space="preserve">6,500</w:t>
            </w:r>
          </w:p>
        </w:tc>
        <w:tc>
          <w:tcPr>
            <w:tcBorders>
              <w:top w:val="single" w:color="808080" w:sz="4"/>
              <w:left w:val="single" w:color="808080" w:sz="4"/>
              <w:bottom w:val="single" w:color="808080" w:sz="4"/>
              <w:right w:val="single" w:color="808080" w:sz="4"/>
            </w:tcBorders>
            <w:shd w:fill="FCE4D6" w:val="clear"/>
            <w:tcMar>
              <w:top w:type="dxa" w:w="60"/>
              <w:left w:type="dxa" w:w="110"/>
              <w:bottom w:type="dxa" w:w="60"/>
              <w:right w:type="dxa" w:w="110"/>
            </w:tcMar>
            <w:vAlign w:val="center"/>
          </w:tcPr>
          <w:p>
            <w:pPr>
              <w:jc w:val="center"/>
            </w:pPr>
            <w:r>
              <w:rPr>
                <w:rFonts w:ascii="游明朝" w:cs="游明朝" w:eastAsia="游明朝" w:hAnsi="游明朝"/>
                <w:b w:val="false"/>
                <w:bCs w:val="false"/>
                <w:color w:val="262626"/>
                <w:sz w:val="19"/>
                <w:szCs w:val="19"/>
              </w:rPr>
              <w:t xml:space="preserve">6,380</w:t>
            </w:r>
          </w:p>
        </w:tc>
        <w:tc>
          <w:tcPr>
            <w:tcBorders>
              <w:top w:val="single" w:color="808080" w:sz="4"/>
              <w:left w:val="single" w:color="808080" w:sz="4"/>
              <w:bottom w:val="single" w:color="808080" w:sz="4"/>
              <w:right w:val="single" w:color="808080" w:sz="4"/>
            </w:tcBorders>
            <w:shd w:fill="FCE4D6" w:val="clear"/>
            <w:tcMar>
              <w:top w:type="dxa" w:w="60"/>
              <w:left w:type="dxa" w:w="110"/>
              <w:bottom w:type="dxa" w:w="60"/>
              <w:right w:type="dxa" w:w="110"/>
            </w:tcMar>
            <w:vAlign w:val="center"/>
          </w:tcPr>
          <w:p>
            <w:pPr>
              <w:jc w:val="center"/>
            </w:pPr>
            <w:r>
              <w:rPr>
                <w:rFonts w:ascii="游明朝" w:cs="游明朝" w:eastAsia="游明朝" w:hAnsi="游明朝"/>
                <w:b w:val="false"/>
                <w:bCs w:val="false"/>
                <w:color w:val="262626"/>
                <w:sz w:val="19"/>
                <w:szCs w:val="19"/>
              </w:rPr>
              <w:t xml:space="preserve">+120</w:t>
            </w:r>
          </w:p>
        </w:tc>
        <w:tc>
          <w:tcPr>
            <w:tcBorders>
              <w:top w:val="single" w:color="808080" w:sz="4"/>
              <w:left w:val="single" w:color="808080" w:sz="4"/>
              <w:bottom w:val="single" w:color="808080" w:sz="4"/>
              <w:right w:val="single" w:color="808080" w:sz="4"/>
            </w:tcBorders>
            <w:shd w:fill="FCE4D6" w:val="clear"/>
            <w:tcMar>
              <w:top w:type="dxa" w:w="60"/>
              <w:left w:type="dxa" w:w="110"/>
              <w:bottom w:type="dxa" w:w="60"/>
              <w:right w:type="dxa" w:w="110"/>
            </w:tcMar>
            <w:vAlign w:val="center"/>
          </w:tcPr>
          <w:p>
            <w:pPr>
              <w:jc w:val="center"/>
            </w:pPr>
            <w:r>
              <w:rPr>
                <w:rFonts w:ascii="游明朝" w:cs="游明朝" w:eastAsia="游明朝" w:hAnsi="游明朝"/>
                <w:b/>
                <w:bCs/>
                <w:color w:val="C55A11"/>
                <w:sz w:val="19"/>
                <w:szCs w:val="19"/>
              </w:rPr>
              <w:t xml:space="preserve">+739</w:t>
            </w:r>
          </w:p>
        </w:tc>
      </w:tr>
      <w:tr>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left"/>
            </w:pPr>
            <w:r>
              <w:rPr>
                <w:rFonts w:ascii="游明朝" w:cs="游明朝" w:eastAsia="游明朝" w:hAnsi="游明朝"/>
                <w:b w:val="false"/>
                <w:bCs w:val="false"/>
                <w:color w:val="262626"/>
                <w:sz w:val="19"/>
                <w:szCs w:val="19"/>
              </w:rPr>
              <w:t xml:space="preserve">丸森町</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262626"/>
                <w:sz w:val="19"/>
                <w:szCs w:val="19"/>
              </w:rPr>
              <w:t xml:space="preserve">6,500</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262626"/>
                <w:sz w:val="19"/>
                <w:szCs w:val="19"/>
              </w:rPr>
              <w:t xml:space="preserve">6,060</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262626"/>
                <w:sz w:val="19"/>
                <w:szCs w:val="19"/>
              </w:rPr>
              <w:t xml:space="preserve">+440</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C55A11"/>
                <w:sz w:val="19"/>
                <w:szCs w:val="19"/>
              </w:rPr>
              <w:t xml:space="preserve">+739</w:t>
            </w:r>
          </w:p>
        </w:tc>
      </w:tr>
      <w:tr>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left"/>
            </w:pPr>
            <w:r>
              <w:rPr>
                <w:rFonts w:ascii="游明朝" w:cs="游明朝" w:eastAsia="游明朝" w:hAnsi="游明朝"/>
                <w:b w:val="false"/>
                <w:bCs w:val="false"/>
                <w:color w:val="262626"/>
                <w:sz w:val="19"/>
                <w:szCs w:val="19"/>
              </w:rPr>
              <w:t xml:space="preserve">七ヶ宿町</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262626"/>
                <w:sz w:val="19"/>
                <w:szCs w:val="19"/>
              </w:rPr>
              <w:t xml:space="preserve">5,950</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262626"/>
                <w:sz w:val="19"/>
                <w:szCs w:val="19"/>
              </w:rPr>
              <w:t xml:space="preserve">5,450</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262626"/>
                <w:sz w:val="19"/>
                <w:szCs w:val="19"/>
              </w:rPr>
              <w:t xml:space="preserve">+500</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C55A11"/>
                <w:sz w:val="19"/>
                <w:szCs w:val="19"/>
              </w:rPr>
              <w:t xml:space="preserve">+189</w:t>
            </w:r>
          </w:p>
        </w:tc>
      </w:tr>
      <w:tr>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left"/>
            </w:pPr>
            <w:r>
              <w:rPr>
                <w:rFonts w:ascii="游明朝" w:cs="游明朝" w:eastAsia="游明朝" w:hAnsi="游明朝"/>
                <w:b w:val="false"/>
                <w:bCs w:val="false"/>
                <w:color w:val="262626"/>
                <w:sz w:val="19"/>
                <w:szCs w:val="19"/>
              </w:rPr>
              <w:t xml:space="preserve">角田市</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262626"/>
                <w:sz w:val="19"/>
                <w:szCs w:val="19"/>
              </w:rPr>
              <w:t xml:space="preserve">5,800</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262626"/>
                <w:sz w:val="19"/>
                <w:szCs w:val="19"/>
              </w:rPr>
              <w:t xml:space="preserve">5,700</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262626"/>
                <w:sz w:val="19"/>
                <w:szCs w:val="19"/>
              </w:rPr>
              <w:t xml:space="preserve">+100</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C55A11"/>
                <w:sz w:val="19"/>
                <w:szCs w:val="19"/>
              </w:rPr>
              <w:t xml:space="preserve">+39</w:t>
            </w:r>
          </w:p>
        </w:tc>
      </w:tr>
      <w:tr>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left"/>
            </w:pPr>
            <w:r>
              <w:rPr>
                <w:rFonts w:ascii="游明朝" w:cs="游明朝" w:eastAsia="游明朝" w:hAnsi="游明朝"/>
                <w:b w:val="false"/>
                <w:bCs w:val="false"/>
                <w:color w:val="262626"/>
                <w:sz w:val="19"/>
                <w:szCs w:val="19"/>
              </w:rPr>
              <w:t xml:space="preserve">白石市</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262626"/>
                <w:sz w:val="19"/>
                <w:szCs w:val="19"/>
              </w:rPr>
              <w:t xml:space="preserve">5,600</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262626"/>
                <w:sz w:val="19"/>
                <w:szCs w:val="19"/>
              </w:rPr>
              <w:t xml:space="preserve">5,600</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262626"/>
                <w:sz w:val="19"/>
                <w:szCs w:val="19"/>
              </w:rPr>
              <w:t xml:space="preserve">+0</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2E75B6"/>
                <w:sz w:val="19"/>
                <w:szCs w:val="19"/>
              </w:rPr>
              <w:t xml:space="preserve">-161</w:t>
            </w:r>
          </w:p>
        </w:tc>
      </w:tr>
      <w:tr>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left"/>
            </w:pPr>
            <w:r>
              <w:rPr>
                <w:rFonts w:ascii="游明朝" w:cs="游明朝" w:eastAsia="游明朝" w:hAnsi="游明朝"/>
                <w:b w:val="false"/>
                <w:bCs w:val="false"/>
                <w:color w:val="262626"/>
                <w:sz w:val="19"/>
                <w:szCs w:val="19"/>
              </w:rPr>
              <w:t xml:space="preserve">柴田町</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262626"/>
                <w:sz w:val="19"/>
                <w:szCs w:val="19"/>
              </w:rPr>
              <w:t xml:space="preserve">5,600</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262626"/>
                <w:sz w:val="19"/>
                <w:szCs w:val="19"/>
              </w:rPr>
              <w:t xml:space="preserve">5,600</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262626"/>
                <w:sz w:val="19"/>
                <w:szCs w:val="19"/>
              </w:rPr>
              <w:t xml:space="preserve">+0</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2E75B6"/>
                <w:sz w:val="19"/>
                <w:szCs w:val="19"/>
              </w:rPr>
              <w:t xml:space="preserve">-161</w:t>
            </w:r>
          </w:p>
        </w:tc>
      </w:tr>
      <w:tr>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left"/>
            </w:pPr>
            <w:r>
              <w:rPr>
                <w:rFonts w:ascii="游明朝" w:cs="游明朝" w:eastAsia="游明朝" w:hAnsi="游明朝"/>
                <w:b w:val="false"/>
                <w:bCs w:val="false"/>
                <w:color w:val="262626"/>
                <w:sz w:val="19"/>
                <w:szCs w:val="19"/>
              </w:rPr>
              <w:t xml:space="preserve">蔵王町</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262626"/>
                <w:sz w:val="19"/>
                <w:szCs w:val="19"/>
              </w:rPr>
              <w:t xml:space="preserve">5,400</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262626"/>
                <w:sz w:val="19"/>
                <w:szCs w:val="19"/>
              </w:rPr>
              <w:t xml:space="preserve">4,800</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262626"/>
                <w:sz w:val="19"/>
                <w:szCs w:val="19"/>
              </w:rPr>
              <w:t xml:space="preserve">+600</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2E75B6"/>
                <w:sz w:val="19"/>
                <w:szCs w:val="19"/>
              </w:rPr>
              <w:t xml:space="preserve">-361</w:t>
            </w:r>
          </w:p>
        </w:tc>
      </w:tr>
      <w:tr>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left"/>
            </w:pPr>
            <w:r>
              <w:rPr>
                <w:rFonts w:ascii="游明朝" w:cs="游明朝" w:eastAsia="游明朝" w:hAnsi="游明朝"/>
                <w:b w:val="false"/>
                <w:bCs w:val="false"/>
                <w:color w:val="262626"/>
                <w:sz w:val="19"/>
                <w:szCs w:val="19"/>
              </w:rPr>
              <w:t xml:space="preserve">大河原町</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262626"/>
                <w:sz w:val="19"/>
                <w:szCs w:val="19"/>
              </w:rPr>
              <w:t xml:space="preserve">4,000</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262626"/>
                <w:sz w:val="19"/>
                <w:szCs w:val="19"/>
              </w:rPr>
              <w:t xml:space="preserve">3,800</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262626"/>
                <w:sz w:val="19"/>
                <w:szCs w:val="19"/>
              </w:rPr>
              <w:t xml:space="preserve">+200</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val="false"/>
                <w:bCs w:val="false"/>
                <w:color w:val="2E75B6"/>
                <w:sz w:val="19"/>
                <w:szCs w:val="19"/>
              </w:rPr>
              <w:t xml:space="preserve">-1761</w:t>
            </w:r>
          </w:p>
        </w:tc>
      </w:tr>
      <w:tr>
        <w:tc>
          <w:tcPr>
            <w:tcBorders>
              <w:top w:val="single" w:color="808080" w:sz="4"/>
              <w:left w:val="single" w:color="808080" w:sz="4"/>
              <w:bottom w:val="single" w:color="808080" w:sz="4"/>
              <w:right w:val="single" w:color="808080" w:sz="4"/>
            </w:tcBorders>
            <w:shd w:fill="BDD7EE" w:val="clear"/>
            <w:tcMar>
              <w:top w:type="dxa" w:w="60"/>
              <w:left w:type="dxa" w:w="110"/>
              <w:bottom w:type="dxa" w:w="60"/>
              <w:right w:type="dxa" w:w="110"/>
            </w:tcMar>
            <w:vAlign w:val="center"/>
          </w:tcPr>
          <w:p>
            <w:pPr>
              <w:jc w:val="left"/>
            </w:pPr>
            <w:r>
              <w:rPr>
                <w:rFonts w:ascii="游明朝" w:cs="游明朝" w:eastAsia="游明朝" w:hAnsi="游明朝"/>
                <w:b/>
                <w:bCs/>
                <w:color w:val="262626"/>
                <w:sz w:val="19"/>
                <w:szCs w:val="19"/>
              </w:rPr>
              <w:t xml:space="preserve">仙南圏域 単純平均</w:t>
            </w:r>
          </w:p>
        </w:tc>
        <w:tc>
          <w:tcPr>
            <w:tcBorders>
              <w:top w:val="single" w:color="808080" w:sz="4"/>
              <w:left w:val="single" w:color="808080" w:sz="4"/>
              <w:bottom w:val="single" w:color="808080" w:sz="4"/>
              <w:right w:val="single" w:color="808080" w:sz="4"/>
            </w:tcBorders>
            <w:shd w:fill="BDD7EE" w:val="clear"/>
            <w:tcMar>
              <w:top w:type="dxa" w:w="60"/>
              <w:left w:type="dxa" w:w="110"/>
              <w:bottom w:type="dxa" w:w="60"/>
              <w:right w:type="dxa" w:w="110"/>
            </w:tcMar>
            <w:vAlign w:val="center"/>
          </w:tcPr>
          <w:p>
            <w:pPr>
              <w:jc w:val="center"/>
            </w:pPr>
            <w:r>
              <w:rPr>
                <w:rFonts w:ascii="游明朝" w:cs="游明朝" w:eastAsia="游明朝" w:hAnsi="游明朝"/>
                <w:b/>
                <w:bCs/>
                <w:color w:val="262626"/>
                <w:sz w:val="19"/>
                <w:szCs w:val="19"/>
              </w:rPr>
              <w:t xml:space="preserve">5,761</w:t>
            </w:r>
          </w:p>
        </w:tc>
        <w:tc>
          <w:tcPr>
            <w:tcBorders>
              <w:top w:val="single" w:color="808080" w:sz="4"/>
              <w:left w:val="single" w:color="808080" w:sz="4"/>
              <w:bottom w:val="single" w:color="808080" w:sz="4"/>
              <w:right w:val="single" w:color="808080" w:sz="4"/>
            </w:tcBorders>
            <w:shd w:fill="BDD7EE" w:val="clear"/>
            <w:tcMar>
              <w:top w:type="dxa" w:w="60"/>
              <w:left w:type="dxa" w:w="110"/>
              <w:bottom w:type="dxa" w:w="60"/>
              <w:right w:type="dxa" w:w="110"/>
            </w:tcMar>
            <w:vAlign w:val="center"/>
          </w:tcPr>
          <w:p>
            <w:pPr>
              <w:jc w:val="center"/>
            </w:pPr>
            <w:r>
              <w:rPr>
                <w:rFonts w:ascii="游明朝" w:cs="游明朝" w:eastAsia="游明朝" w:hAnsi="游明朝"/>
                <w:b w:val="false"/>
                <w:bCs w:val="false"/>
                <w:color w:val="262626"/>
                <w:sz w:val="19"/>
                <w:szCs w:val="19"/>
              </w:rPr>
              <w:t xml:space="preserve">—</w:t>
            </w:r>
          </w:p>
        </w:tc>
        <w:tc>
          <w:tcPr>
            <w:tcBorders>
              <w:top w:val="single" w:color="808080" w:sz="4"/>
              <w:left w:val="single" w:color="808080" w:sz="4"/>
              <w:bottom w:val="single" w:color="808080" w:sz="4"/>
              <w:right w:val="single" w:color="808080" w:sz="4"/>
            </w:tcBorders>
            <w:shd w:fill="BDD7EE" w:val="clear"/>
            <w:tcMar>
              <w:top w:type="dxa" w:w="60"/>
              <w:left w:type="dxa" w:w="110"/>
              <w:bottom w:type="dxa" w:w="60"/>
              <w:right w:type="dxa" w:w="110"/>
            </w:tcMar>
            <w:vAlign w:val="center"/>
          </w:tcPr>
          <w:p>
            <w:pPr>
              <w:jc w:val="center"/>
            </w:pPr>
            <w:r>
              <w:rPr>
                <w:rFonts w:ascii="游明朝" w:cs="游明朝" w:eastAsia="游明朝" w:hAnsi="游明朝"/>
                <w:b w:val="false"/>
                <w:bCs w:val="false"/>
                <w:color w:val="262626"/>
                <w:sz w:val="19"/>
                <w:szCs w:val="19"/>
              </w:rPr>
              <w:t xml:space="preserve">—</w:t>
            </w:r>
          </w:p>
        </w:tc>
        <w:tc>
          <w:tcPr>
            <w:tcBorders>
              <w:top w:val="single" w:color="808080" w:sz="4"/>
              <w:left w:val="single" w:color="808080" w:sz="4"/>
              <w:bottom w:val="single" w:color="808080" w:sz="4"/>
              <w:right w:val="single" w:color="808080" w:sz="4"/>
            </w:tcBorders>
            <w:shd w:fill="BDD7EE" w:val="clear"/>
            <w:tcMar>
              <w:top w:type="dxa" w:w="60"/>
              <w:left w:type="dxa" w:w="110"/>
              <w:bottom w:type="dxa" w:w="60"/>
              <w:right w:type="dxa" w:w="110"/>
            </w:tcMar>
            <w:vAlign w:val="center"/>
          </w:tcPr>
          <w:p>
            <w:pPr>
              <w:jc w:val="center"/>
            </w:pPr>
            <w:r>
              <w:rPr>
                <w:rFonts w:ascii="游明朝" w:cs="游明朝" w:eastAsia="游明朝" w:hAnsi="游明朝"/>
                <w:b w:val="false"/>
                <w:bCs w:val="false"/>
                <w:color w:val="262626"/>
                <w:sz w:val="19"/>
                <w:szCs w:val="19"/>
              </w:rPr>
              <w:t xml:space="preserve">—</w:t>
            </w:r>
          </w:p>
        </w:tc>
      </w:tr>
    </w:tbl>
    <w:p>
      <w:pPr>
        <w:spacing w:after="120"/>
      </w:pPr>
      <w:r>
        <w:rPr>
          <w:rFonts w:ascii="游明朝" w:cs="游明朝" w:eastAsia="游明朝" w:hAnsi="游明朝"/>
          <w:i/>
          <w:iCs/>
          <w:color w:val="808080"/>
          <w:sz w:val="17"/>
          <w:szCs w:val="17"/>
        </w:rPr>
        <w:t xml:space="preserve">出典：宮城県公表値より作成。仙南圏域単純平均＝5,761円（9市町の算術平均）。</w:t>
      </w:r>
    </w:p>
    <w:p>
      <w:pPr>
        <w:pBdr>
          <w:left w:val="single" w:color="2E75B6" w:sz="18" w:space="8"/>
        </w:pBdr>
        <w:spacing w:after="100" w:before="220"/>
      </w:pPr>
      <w:r>
        <w:rPr>
          <w:rFonts w:ascii="游ゴシック" w:cs="游ゴシック" w:eastAsia="游ゴシック" w:hAnsi="游ゴシック"/>
          <w:b/>
          <w:bCs/>
          <w:color w:val="1F3864"/>
          <w:sz w:val="23"/>
          <w:szCs w:val="23"/>
        </w:rPr>
        <w:t xml:space="preserve"> 読み取り</w:t>
      </w:r>
    </w:p>
    <w:p>
      <w:pPr>
        <w:spacing w:after="120" w:line="300"/>
        <w:jc w:val="both"/>
      </w:pPr>
      <w:r>
        <w:rPr>
          <w:rFonts w:ascii="游明朝" w:cs="游明朝" w:eastAsia="游明朝" w:hAnsi="游明朝"/>
          <w:b w:val="false"/>
          <w:bCs w:val="false"/>
          <w:color w:val="262626"/>
          <w:sz w:val="21"/>
          <w:szCs w:val="21"/>
        </w:rPr>
        <w:t xml:space="preserve">仙南圏域では川崎町6,500円が</w:t>
      </w:r>
      <w:r>
        <w:rPr>
          <w:rFonts w:ascii="游明朝" w:cs="游明朝" w:eastAsia="游明朝" w:hAnsi="游明朝"/>
          <w:b/>
          <w:bCs/>
          <w:color w:val="C00000"/>
          <w:sz w:val="21"/>
          <w:szCs w:val="21"/>
        </w:rPr>
        <w:t xml:space="preserve">最高水準（村田町・丸森町と同額）</w:t>
      </w:r>
      <w:r>
        <w:rPr>
          <w:rFonts w:ascii="游明朝" w:cs="游明朝" w:eastAsia="游明朝" w:hAnsi="游明朝"/>
          <w:b w:val="false"/>
          <w:bCs w:val="false"/>
          <w:color w:val="262626"/>
          <w:sz w:val="21"/>
          <w:szCs w:val="21"/>
        </w:rPr>
        <w:t xml:space="preserve">、圏域単純平均</w:t>
      </w:r>
      <w:r>
        <w:rPr>
          <w:rFonts w:ascii="游明朝" w:cs="游明朝" w:eastAsia="游明朝" w:hAnsi="游明朝"/>
          <w:b/>
          <w:bCs/>
          <w:color w:val="262626"/>
          <w:sz w:val="21"/>
          <w:szCs w:val="21"/>
        </w:rPr>
        <w:t xml:space="preserve">5,761円</w:t>
      </w:r>
      <w:r>
        <w:rPr>
          <w:rFonts w:ascii="游明朝" w:cs="游明朝" w:eastAsia="游明朝" w:hAnsi="游明朝"/>
          <w:b w:val="false"/>
          <w:bCs w:val="false"/>
          <w:color w:val="262626"/>
          <w:sz w:val="21"/>
          <w:szCs w:val="21"/>
        </w:rPr>
        <w:t xml:space="preserve">を</w:t>
      </w:r>
      <w:r>
        <w:rPr>
          <w:rFonts w:ascii="游明朝" w:cs="游明朝" w:eastAsia="游明朝" w:hAnsi="游明朝"/>
          <w:b/>
          <w:bCs/>
          <w:color w:val="C55A11"/>
          <w:sz w:val="21"/>
          <w:szCs w:val="21"/>
        </w:rPr>
        <w:t xml:space="preserve">+739円上回ります</w:t>
      </w:r>
      <w:r>
        <w:rPr>
          <w:rFonts w:ascii="游明朝" w:cs="游明朝" w:eastAsia="游明朝" w:hAnsi="游明朝"/>
          <w:b w:val="false"/>
          <w:bCs w:val="false"/>
          <w:color w:val="262626"/>
          <w:sz w:val="21"/>
          <w:szCs w:val="21"/>
        </w:rPr>
        <w:t xml:space="preserve">。最低の大河原町4,000円とは2,500円の差があります。</w:t>
      </w:r>
    </w:p>
    <w:p>
      <w:pPr>
        <w:spacing w:after="120" w:line="300"/>
        <w:jc w:val="both"/>
      </w:pPr>
      <w:r>
        <w:rPr>
          <w:rFonts w:ascii="游明朝" w:cs="游明朝" w:eastAsia="游明朝" w:hAnsi="游明朝"/>
          <w:b w:val="false"/>
          <w:bCs w:val="false"/>
          <w:color w:val="262626"/>
          <w:sz w:val="21"/>
          <w:szCs w:val="21"/>
        </w:rPr>
        <w:t xml:space="preserve">注目すべきは、川崎町と同等以上の高齢化が進む</w:t>
      </w:r>
      <w:r>
        <w:rPr>
          <w:rFonts w:ascii="游明朝" w:cs="游明朝" w:eastAsia="游明朝" w:hAnsi="游明朝"/>
          <w:b/>
          <w:bCs/>
          <w:color w:val="262626"/>
          <w:sz w:val="21"/>
          <w:szCs w:val="21"/>
        </w:rPr>
        <w:t xml:space="preserve">七ヶ宿町（県内最高齢の小規模町）が5,950円</w:t>
      </w:r>
      <w:r>
        <w:rPr>
          <w:rFonts w:ascii="游明朝" w:cs="游明朝" w:eastAsia="游明朝" w:hAnsi="游明朝"/>
          <w:b w:val="false"/>
          <w:bCs w:val="false"/>
          <w:color w:val="262626"/>
          <w:sz w:val="21"/>
          <w:szCs w:val="21"/>
        </w:rPr>
        <w:t xml:space="preserve">にとどまる点です。これは、給付費の絶対額が小さい超小規模町では1人当たり負担構造が異なること、施設サービスの有無等の</w:t>
      </w:r>
      <w:r>
        <w:rPr>
          <w:rFonts w:ascii="游明朝" w:cs="游明朝" w:eastAsia="游明朝" w:hAnsi="游明朝"/>
          <w:b/>
          <w:bCs/>
          <w:color w:val="262626"/>
          <w:sz w:val="21"/>
          <w:szCs w:val="21"/>
        </w:rPr>
        <w:t xml:space="preserve">給付構造の違い</w:t>
      </w:r>
      <w:r>
        <w:rPr>
          <w:rFonts w:ascii="游明朝" w:cs="游明朝" w:eastAsia="游明朝" w:hAnsi="游明朝"/>
          <w:b w:val="false"/>
          <w:bCs w:val="false"/>
          <w:color w:val="262626"/>
          <w:sz w:val="21"/>
          <w:szCs w:val="21"/>
        </w:rPr>
        <w:t xml:space="preserve">が保険料水準を左右することを示しており、「高齢化率＝保険料」という単純な比較ができないことを裏付けます。川崎町の上位水準は、後述する</w:t>
      </w:r>
      <w:r>
        <w:rPr>
          <w:rFonts w:ascii="游明朝" w:cs="游明朝" w:eastAsia="游明朝" w:hAnsi="游明朝"/>
          <w:b/>
          <w:bCs/>
          <w:color w:val="1F3864"/>
          <w:sz w:val="21"/>
          <w:szCs w:val="21"/>
        </w:rPr>
        <w:t xml:space="preserve">施設給付比率の高さ</w:t>
      </w:r>
      <w:r>
        <w:rPr>
          <w:rFonts w:ascii="游明朝" w:cs="游明朝" w:eastAsia="游明朝" w:hAnsi="游明朝"/>
          <w:b w:val="false"/>
          <w:bCs w:val="false"/>
          <w:color w:val="262626"/>
          <w:sz w:val="21"/>
          <w:szCs w:val="21"/>
        </w:rPr>
        <w:t xml:space="preserve">が主たる説明要因となります。</w:t>
      </w:r>
    </w:p>
    <w:p>
      <w:r>
        <w:br w:type="page"/>
      </w:r>
    </w:p>
    <w:p>
      <w:pPr>
        <w:pBdr>
          <w:top w:val="single" w:color="1F3864" w:sz="2" w:space="6"/>
          <w:bottom w:val="single" w:color="1F3864" w:sz="2" w:space="6"/>
        </w:pBdr>
        <w:shd w:fill="1F3864" w:val="clear"/>
        <w:spacing w:after="160" w:before="320"/>
      </w:pPr>
      <w:r>
        <w:rPr>
          <w:rFonts w:ascii="游ゴシック" w:cs="游ゴシック" w:eastAsia="游ゴシック" w:hAnsi="游ゴシック"/>
          <w:b/>
          <w:bCs/>
          <w:color w:val="FFC000"/>
          <w:sz w:val="26"/>
          <w:szCs w:val="26"/>
        </w:rPr>
        <w:t xml:space="preserve">  4  </w:t>
      </w:r>
      <w:r>
        <w:rPr>
          <w:rFonts w:ascii="游ゴシック" w:cs="游ゴシック" w:eastAsia="游ゴシック" w:hAnsi="游ゴシック"/>
          <w:b/>
          <w:bCs/>
          <w:color w:val="FFFFFF"/>
          <w:sz w:val="26"/>
          <w:szCs w:val="26"/>
        </w:rPr>
        <w:t xml:space="preserve">【重要】「水準」と「上昇率」の区別 — 計画書記述の精査</w:t>
      </w:r>
    </w:p>
    <w:p>
      <w:pPr>
        <w:spacing w:after="120" w:line="300"/>
        <w:jc w:val="both"/>
      </w:pPr>
      <w:r>
        <w:rPr>
          <w:rFonts w:ascii="游明朝" w:cs="游明朝" w:eastAsia="游明朝" w:hAnsi="游明朝"/>
          <w:color w:val="262626"/>
          <w:sz w:val="21"/>
          <w:szCs w:val="21"/>
        </w:rPr>
        <w:t xml:space="preserve">保険料を語る際には、「水準（額そのもの）」と「上昇率（前期からの伸び）」という2つの異なる指標を混同しないことが重要です。川崎町はこの2指標で評価が分かれます。</w:t>
      </w:r>
    </w:p>
    <w:p>
      <w:pPr>
        <w:spacing w:after="40" w:before="60"/>
      </w:pPr>
      <w:r>
        <w:rPr>
          <w:rFonts w:ascii="游ゴシック" w:cs="游ゴシック" w:eastAsia="游ゴシック" w:hAnsi="游ゴシック"/>
          <w:b/>
          <w:bCs/>
          <w:color w:val="1F3864"/>
          <w:sz w:val="20"/>
          <w:szCs w:val="20"/>
        </w:rPr>
        <w:t xml:space="preserve">表4-1　2指標による川崎町の評価</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600"/>
        <w:gridCol w:w="2400"/>
        <w:gridCol w:w="1960"/>
      </w:tblGrid>
      <w:tr>
        <w:trPr>
          <w:tblHeader/>
        </w:trPr>
        <w:tc>
          <w:tcPr>
            <w:tcW w:type="dxa" w:w="2400"/>
            <w:tcBorders>
              <w:top w:val="single" w:color="808080" w:sz="4"/>
              <w:left w:val="single" w:color="808080" w:sz="4"/>
              <w:bottom w:val="single" w:color="808080" w:sz="4"/>
              <w:right w:val="single" w:color="808080" w:sz="4"/>
            </w:tcBorders>
            <w:shd w:fill="1F3864" w:val="clear"/>
            <w:tcMar>
              <w:top w:type="dxa" w:w="60"/>
              <w:left w:type="dxa" w:w="110"/>
              <w:bottom w:type="dxa" w:w="60"/>
              <w:right w:type="dxa" w:w="110"/>
            </w:tcMar>
            <w:vAlign w:val="center"/>
          </w:tcPr>
          <w:p>
            <w:pPr>
              <w:jc w:val="center"/>
            </w:pPr>
            <w:r>
              <w:rPr>
                <w:rFonts w:ascii="游ゴシック" w:cs="游ゴシック" w:eastAsia="游ゴシック" w:hAnsi="游ゴシック"/>
                <w:b/>
                <w:bCs/>
                <w:color w:val="FFFFFF"/>
                <w:sz w:val="19"/>
                <w:szCs w:val="19"/>
              </w:rPr>
              <w:t xml:space="preserve">指標</w:t>
            </w:r>
          </w:p>
        </w:tc>
        <w:tc>
          <w:tcPr>
            <w:tcW w:type="dxa" w:w="2600"/>
            <w:tcBorders>
              <w:top w:val="single" w:color="808080" w:sz="4"/>
              <w:left w:val="single" w:color="808080" w:sz="4"/>
              <w:bottom w:val="single" w:color="808080" w:sz="4"/>
              <w:right w:val="single" w:color="808080" w:sz="4"/>
            </w:tcBorders>
            <w:shd w:fill="1F3864" w:val="clear"/>
            <w:tcMar>
              <w:top w:type="dxa" w:w="60"/>
              <w:left w:type="dxa" w:w="110"/>
              <w:bottom w:type="dxa" w:w="60"/>
              <w:right w:type="dxa" w:w="110"/>
            </w:tcMar>
            <w:vAlign w:val="center"/>
          </w:tcPr>
          <w:p>
            <w:pPr>
              <w:jc w:val="center"/>
            </w:pPr>
            <w:r>
              <w:rPr>
                <w:rFonts w:ascii="游ゴシック" w:cs="游ゴシック" w:eastAsia="游ゴシック" w:hAnsi="游ゴシック"/>
                <w:b/>
                <w:bCs/>
                <w:color w:val="FFFFFF"/>
                <w:sz w:val="19"/>
                <w:szCs w:val="19"/>
              </w:rPr>
              <w:t xml:space="preserve">川崎町</w:t>
            </w:r>
          </w:p>
        </w:tc>
        <w:tc>
          <w:tcPr>
            <w:tcW w:type="dxa" w:w="2400"/>
            <w:tcBorders>
              <w:top w:val="single" w:color="808080" w:sz="4"/>
              <w:left w:val="single" w:color="808080" w:sz="4"/>
              <w:bottom w:val="single" w:color="808080" w:sz="4"/>
              <w:right w:val="single" w:color="808080" w:sz="4"/>
            </w:tcBorders>
            <w:shd w:fill="1F3864" w:val="clear"/>
            <w:tcMar>
              <w:top w:type="dxa" w:w="60"/>
              <w:left w:type="dxa" w:w="110"/>
              <w:bottom w:type="dxa" w:w="60"/>
              <w:right w:type="dxa" w:w="110"/>
            </w:tcMar>
            <w:vAlign w:val="center"/>
          </w:tcPr>
          <w:p>
            <w:pPr>
              <w:jc w:val="center"/>
            </w:pPr>
            <w:r>
              <w:rPr>
                <w:rFonts w:ascii="游ゴシック" w:cs="游ゴシック" w:eastAsia="游ゴシック" w:hAnsi="游ゴシック"/>
                <w:b/>
                <w:bCs/>
                <w:color w:val="FFFFFF"/>
                <w:sz w:val="19"/>
                <w:szCs w:val="19"/>
              </w:rPr>
              <w:t xml:space="preserve">県・全国との比較</w:t>
            </w:r>
          </w:p>
        </w:tc>
        <w:tc>
          <w:tcPr>
            <w:tcW w:type="dxa" w:w="1960"/>
            <w:tcBorders>
              <w:top w:val="single" w:color="808080" w:sz="4"/>
              <w:left w:val="single" w:color="808080" w:sz="4"/>
              <w:bottom w:val="single" w:color="808080" w:sz="4"/>
              <w:right w:val="single" w:color="808080" w:sz="4"/>
            </w:tcBorders>
            <w:shd w:fill="1F3864" w:val="clear"/>
            <w:tcMar>
              <w:top w:type="dxa" w:w="60"/>
              <w:left w:type="dxa" w:w="110"/>
              <w:bottom w:type="dxa" w:w="60"/>
              <w:right w:type="dxa" w:w="110"/>
            </w:tcMar>
            <w:vAlign w:val="center"/>
          </w:tcPr>
          <w:p>
            <w:pPr>
              <w:jc w:val="center"/>
            </w:pPr>
            <w:r>
              <w:rPr>
                <w:rFonts w:ascii="游ゴシック" w:cs="游ゴシック" w:eastAsia="游ゴシック" w:hAnsi="游ゴシック"/>
                <w:b/>
                <w:bCs/>
                <w:color w:val="FFFFFF"/>
                <w:sz w:val="19"/>
                <w:szCs w:val="19"/>
              </w:rPr>
              <w:t xml:space="preserve">評価</w:t>
            </w:r>
          </w:p>
        </w:tc>
      </w:tr>
      <w:tr>
        <w:tc>
          <w:tcPr>
            <w:tcBorders>
              <w:top w:val="single" w:color="808080" w:sz="4"/>
              <w:left w:val="single" w:color="808080" w:sz="4"/>
              <w:bottom w:val="single" w:color="808080" w:sz="4"/>
              <w:right w:val="single" w:color="808080" w:sz="4"/>
            </w:tcBorders>
            <w:shd w:fill="DEEBF7" w:val="clear"/>
            <w:tcMar>
              <w:top w:type="dxa" w:w="60"/>
              <w:left w:type="dxa" w:w="110"/>
              <w:bottom w:type="dxa" w:w="60"/>
              <w:right w:type="dxa" w:w="110"/>
            </w:tcMar>
            <w:vAlign w:val="center"/>
          </w:tcPr>
          <w:p>
            <w:pPr>
              <w:jc w:val="left"/>
            </w:pPr>
            <w:r>
              <w:rPr>
                <w:rFonts w:ascii="游明朝" w:cs="游明朝" w:eastAsia="游明朝" w:hAnsi="游明朝"/>
                <w:b/>
                <w:bCs/>
                <w:color w:val="262626"/>
                <w:sz w:val="19"/>
                <w:szCs w:val="19"/>
              </w:rPr>
              <w:t xml:space="preserve">保険料水準（額）</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bCs/>
                <w:color w:val="1F3864"/>
                <w:sz w:val="19"/>
                <w:szCs w:val="19"/>
              </w:rPr>
              <w:t xml:space="preserve">6,500円</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left"/>
            </w:pPr>
            <w:r>
              <w:rPr>
                <w:rFonts w:ascii="游明朝" w:cs="游明朝" w:eastAsia="游明朝" w:hAnsi="游明朝"/>
                <w:b w:val="false"/>
                <w:bCs w:val="false"/>
                <w:color w:val="262626"/>
                <w:sz w:val="19"/>
                <w:szCs w:val="19"/>
              </w:rPr>
              <w:t xml:space="preserve">県平均+402／全国+275円</w:t>
            </w:r>
          </w:p>
        </w:tc>
        <w:tc>
          <w:tcPr>
            <w:tcBorders>
              <w:top w:val="single" w:color="808080" w:sz="4"/>
              <w:left w:val="single" w:color="808080" w:sz="4"/>
              <w:bottom w:val="single" w:color="808080" w:sz="4"/>
              <w:right w:val="single" w:color="808080" w:sz="4"/>
            </w:tcBorders>
            <w:shd w:fill="FCE4D6" w:val="clear"/>
            <w:tcMar>
              <w:top w:type="dxa" w:w="60"/>
              <w:left w:type="dxa" w:w="110"/>
              <w:bottom w:type="dxa" w:w="60"/>
              <w:right w:type="dxa" w:w="110"/>
            </w:tcMar>
            <w:vAlign w:val="center"/>
          </w:tcPr>
          <w:p>
            <w:pPr>
              <w:jc w:val="center"/>
            </w:pPr>
            <w:r>
              <w:rPr>
                <w:rFonts w:ascii="游明朝" w:cs="游明朝" w:eastAsia="游明朝" w:hAnsi="游明朝"/>
                <w:b/>
                <w:bCs/>
                <w:color w:val="C55A11"/>
                <w:sz w:val="19"/>
                <w:szCs w:val="19"/>
              </w:rPr>
              <w:t xml:space="preserve">県内上位</w:t>
            </w:r>
          </w:p>
        </w:tc>
      </w:tr>
      <w:tr>
        <w:tc>
          <w:tcPr>
            <w:tcBorders>
              <w:top w:val="single" w:color="808080" w:sz="4"/>
              <w:left w:val="single" w:color="808080" w:sz="4"/>
              <w:bottom w:val="single" w:color="808080" w:sz="4"/>
              <w:right w:val="single" w:color="808080" w:sz="4"/>
            </w:tcBorders>
            <w:shd w:fill="E2EFDA" w:val="clear"/>
            <w:tcMar>
              <w:top w:type="dxa" w:w="60"/>
              <w:left w:type="dxa" w:w="110"/>
              <w:bottom w:type="dxa" w:w="60"/>
              <w:right w:type="dxa" w:w="110"/>
            </w:tcMar>
            <w:vAlign w:val="center"/>
          </w:tcPr>
          <w:p>
            <w:pPr>
              <w:jc w:val="left"/>
            </w:pPr>
            <w:r>
              <w:rPr>
                <w:rFonts w:ascii="游明朝" w:cs="游明朝" w:eastAsia="游明朝" w:hAnsi="游明朝"/>
                <w:b/>
                <w:bCs/>
                <w:color w:val="262626"/>
                <w:sz w:val="19"/>
                <w:szCs w:val="19"/>
              </w:rPr>
              <w:t xml:space="preserve">上昇率（8→9期）</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center"/>
            </w:pPr>
            <w:r>
              <w:rPr>
                <w:rFonts w:ascii="游明朝" w:cs="游明朝" w:eastAsia="游明朝" w:hAnsi="游明朝"/>
                <w:b/>
                <w:bCs/>
                <w:color w:val="548235"/>
                <w:sz w:val="19"/>
                <w:szCs w:val="19"/>
              </w:rPr>
              <w:t xml:space="preserve">+1.9%（+120円）</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left"/>
            </w:pPr>
            <w:r>
              <w:rPr>
                <w:rFonts w:ascii="游明朝" w:cs="游明朝" w:eastAsia="游明朝" w:hAnsi="游明朝"/>
                <w:b w:val="false"/>
                <w:bCs w:val="false"/>
                <w:color w:val="262626"/>
                <w:sz w:val="19"/>
                <w:szCs w:val="19"/>
              </w:rPr>
              <w:t xml:space="preserve">県+2.7%・全国+3.5%を下回る</w:t>
            </w:r>
          </w:p>
        </w:tc>
        <w:tc>
          <w:tcPr>
            <w:tcBorders>
              <w:top w:val="single" w:color="808080" w:sz="4"/>
              <w:left w:val="single" w:color="808080" w:sz="4"/>
              <w:bottom w:val="single" w:color="808080" w:sz="4"/>
              <w:right w:val="single" w:color="808080" w:sz="4"/>
            </w:tcBorders>
            <w:shd w:fill="E2EFDA" w:val="clear"/>
            <w:tcMar>
              <w:top w:type="dxa" w:w="60"/>
              <w:left w:type="dxa" w:w="110"/>
              <w:bottom w:type="dxa" w:w="60"/>
              <w:right w:type="dxa" w:w="110"/>
            </w:tcMar>
            <w:vAlign w:val="center"/>
          </w:tcPr>
          <w:p>
            <w:pPr>
              <w:jc w:val="center"/>
            </w:pPr>
            <w:r>
              <w:rPr>
                <w:rFonts w:ascii="游明朝" w:cs="游明朝" w:eastAsia="游明朝" w:hAnsi="游明朝"/>
                <w:b/>
                <w:bCs/>
                <w:color w:val="548235"/>
                <w:sz w:val="19"/>
                <w:szCs w:val="19"/>
              </w:rPr>
              <w:t xml:space="preserve">抑制的</w:t>
            </w:r>
          </w:p>
        </w:tc>
      </w:tr>
    </w:tbl>
    <w:p>
      <w:pPr>
        <w:pBdr>
          <w:top w:val="single" w:color="FFF2CC" w:sz="2" w:space="4"/>
          <w:left w:val="single" w:color="C55A11" w:sz="18" w:space="10"/>
          <w:bottom w:val="single" w:color="FFF2CC" w:sz="2" w:space="4"/>
        </w:pBdr>
        <w:shd w:fill="FFF2CC" w:val="clear"/>
        <w:spacing w:after="140" w:before="80"/>
      </w:pPr>
      <w:r>
        <w:rPr>
          <w:rFonts w:ascii="游ゴシック" w:cs="游ゴシック" w:eastAsia="游ゴシック" w:hAnsi="游ゴシック"/>
          <w:b/>
          <w:bCs/>
          <w:color w:val="1F3864"/>
          <w:sz w:val="21"/>
          <w:szCs w:val="21"/>
        </w:rPr>
        <w:t xml:space="preserve">● 水準は「上位」、上昇率は「抑制的」。両者は両立する。保険者努力（介護予防・基金）が伸びを抑えてきたが、高齢化の構造により水準自体は高い。</w:t>
      </w:r>
    </w:p>
    <w:p>
      <w:pPr>
        <w:pBdr>
          <w:left w:val="single" w:color="2E75B6" w:sz="18" w:space="8"/>
        </w:pBdr>
        <w:spacing w:after="100" w:before="220"/>
      </w:pPr>
      <w:r>
        <w:rPr>
          <w:rFonts w:ascii="游ゴシック" w:cs="游ゴシック" w:eastAsia="游ゴシック" w:hAnsi="游ゴシック"/>
          <w:b/>
          <w:bCs/>
          <w:color w:val="1F3864"/>
          <w:sz w:val="23"/>
          <w:szCs w:val="23"/>
        </w:rPr>
        <w:t xml:space="preserve"> 計画書素案v1.6（第7章 7-3）の記述に関する指摘</w:t>
      </w:r>
    </w:p>
    <w:p>
      <w:pPr>
        <w:spacing w:after="120" w:line="300"/>
        <w:jc w:val="both"/>
      </w:pPr>
      <w:r>
        <w:rPr>
          <w:rFonts w:ascii="游明朝" w:cs="游明朝" w:eastAsia="游明朝" w:hAnsi="游明朝"/>
          <w:b w:val="false"/>
          <w:bCs w:val="false"/>
          <w:color w:val="262626"/>
          <w:sz w:val="21"/>
          <w:szCs w:val="21"/>
        </w:rPr>
        <w:t xml:space="preserve">現行の計画書素案v1.6 第7章には、次の2か所に</w:t>
      </w:r>
      <w:r>
        <w:rPr>
          <w:rFonts w:ascii="游明朝" w:cs="游明朝" w:eastAsia="游明朝" w:hAnsi="游明朝"/>
          <w:b/>
          <w:bCs/>
          <w:color w:val="C00000"/>
          <w:sz w:val="21"/>
          <w:szCs w:val="21"/>
        </w:rPr>
        <w:t xml:space="preserve">実態と整合しない表現</w:t>
      </w:r>
      <w:r>
        <w:rPr>
          <w:rFonts w:ascii="游明朝" w:cs="游明朝" w:eastAsia="游明朝" w:hAnsi="游明朝"/>
          <w:b w:val="false"/>
          <w:bCs w:val="false"/>
          <w:color w:val="262626"/>
          <w:sz w:val="21"/>
          <w:szCs w:val="21"/>
        </w:rPr>
        <w:t xml:space="preserve">があります。委員から県公表データと照合されるリスクがあるため、修正を提案します。</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1400"/>
        <w:gridCol w:w="4200"/>
        <w:gridCol w:w="4200"/>
      </w:tblGrid>
      <w:tr>
        <w:trPr>
          <w:tblHeader/>
        </w:trPr>
        <w:tc>
          <w:tcPr>
            <w:tcW w:type="dxa" w:w="1400"/>
            <w:tcBorders>
              <w:top w:val="single" w:color="808080" w:sz="4"/>
              <w:left w:val="single" w:color="808080" w:sz="4"/>
              <w:bottom w:val="single" w:color="808080" w:sz="4"/>
              <w:right w:val="single" w:color="808080" w:sz="4"/>
            </w:tcBorders>
            <w:shd w:fill="1F3864" w:val="clear"/>
            <w:tcMar>
              <w:top w:type="dxa" w:w="60"/>
              <w:left w:type="dxa" w:w="110"/>
              <w:bottom w:type="dxa" w:w="60"/>
              <w:right w:type="dxa" w:w="110"/>
            </w:tcMar>
            <w:vAlign w:val="center"/>
          </w:tcPr>
          <w:p>
            <w:pPr>
              <w:jc w:val="center"/>
            </w:pPr>
            <w:r>
              <w:rPr>
                <w:rFonts w:ascii="游ゴシック" w:cs="游ゴシック" w:eastAsia="游ゴシック" w:hAnsi="游ゴシック"/>
                <w:b/>
                <w:bCs/>
                <w:color w:val="FFFFFF"/>
                <w:sz w:val="19"/>
                <w:szCs w:val="19"/>
              </w:rPr>
              <w:t xml:space="preserve">箇所</w:t>
            </w:r>
          </w:p>
        </w:tc>
        <w:tc>
          <w:tcPr>
            <w:tcW w:type="dxa" w:w="4200"/>
            <w:tcBorders>
              <w:top w:val="single" w:color="808080" w:sz="4"/>
              <w:left w:val="single" w:color="808080" w:sz="4"/>
              <w:bottom w:val="single" w:color="808080" w:sz="4"/>
              <w:right w:val="single" w:color="808080" w:sz="4"/>
            </w:tcBorders>
            <w:shd w:fill="1F3864" w:val="clear"/>
            <w:tcMar>
              <w:top w:type="dxa" w:w="60"/>
              <w:left w:type="dxa" w:w="110"/>
              <w:bottom w:type="dxa" w:w="60"/>
              <w:right w:type="dxa" w:w="110"/>
            </w:tcMar>
            <w:vAlign w:val="center"/>
          </w:tcPr>
          <w:p>
            <w:pPr>
              <w:jc w:val="center"/>
            </w:pPr>
            <w:r>
              <w:rPr>
                <w:rFonts w:ascii="游ゴシック" w:cs="游ゴシック" w:eastAsia="游ゴシック" w:hAnsi="游ゴシック"/>
                <w:b/>
                <w:bCs/>
                <w:color w:val="FFFFFF"/>
                <w:sz w:val="19"/>
                <w:szCs w:val="19"/>
              </w:rPr>
              <w:t xml:space="preserve">現行表現（要修正）</w:t>
            </w:r>
          </w:p>
        </w:tc>
        <w:tc>
          <w:tcPr>
            <w:tcW w:type="dxa" w:w="4200"/>
            <w:tcBorders>
              <w:top w:val="single" w:color="808080" w:sz="4"/>
              <w:left w:val="single" w:color="808080" w:sz="4"/>
              <w:bottom w:val="single" w:color="808080" w:sz="4"/>
              <w:right w:val="single" w:color="808080" w:sz="4"/>
            </w:tcBorders>
            <w:shd w:fill="1F3864" w:val="clear"/>
            <w:tcMar>
              <w:top w:type="dxa" w:w="60"/>
              <w:left w:type="dxa" w:w="110"/>
              <w:bottom w:type="dxa" w:w="60"/>
              <w:right w:type="dxa" w:w="110"/>
            </w:tcMar>
            <w:vAlign w:val="center"/>
          </w:tcPr>
          <w:p>
            <w:pPr>
              <w:jc w:val="center"/>
            </w:pPr>
            <w:r>
              <w:rPr>
                <w:rFonts w:ascii="游ゴシック" w:cs="游ゴシック" w:eastAsia="游ゴシック" w:hAnsi="游ゴシック"/>
                <w:b/>
                <w:bCs/>
                <w:color w:val="FFFFFF"/>
                <w:sz w:val="19"/>
                <w:szCs w:val="19"/>
              </w:rPr>
              <w:t xml:space="preserve">修正提案</w:t>
            </w:r>
          </w:p>
        </w:tc>
      </w:tr>
      <w:tr>
        <w:tc>
          <w:tcPr>
            <w:tcBorders>
              <w:top w:val="single" w:color="808080" w:sz="4"/>
              <w:left w:val="single" w:color="808080" w:sz="4"/>
              <w:bottom w:val="single" w:color="808080" w:sz="4"/>
              <w:right w:val="single" w:color="808080" w:sz="4"/>
            </w:tcBorders>
            <w:shd w:fill="F2F2F2" w:val="clear"/>
            <w:tcMar>
              <w:top w:type="dxa" w:w="60"/>
              <w:left w:type="dxa" w:w="110"/>
              <w:bottom w:type="dxa" w:w="60"/>
              <w:right w:type="dxa" w:w="110"/>
            </w:tcMar>
            <w:vAlign w:val="center"/>
          </w:tcPr>
          <w:p>
            <w:pPr>
              <w:jc w:val="center"/>
            </w:pPr>
            <w:r>
              <w:rPr>
                <w:rFonts w:ascii="游明朝" w:cs="游明朝" w:eastAsia="游明朝" w:hAnsi="游明朝"/>
                <w:b/>
                <w:bCs/>
                <w:color w:val="262626"/>
                <w:sz w:val="19"/>
                <w:szCs w:val="19"/>
              </w:rPr>
              <w:t xml:space="preserve">①</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left"/>
            </w:pPr>
            <w:r>
              <w:rPr>
                <w:rFonts w:ascii="游明朝" w:cs="游明朝" w:eastAsia="游明朝" w:hAnsi="游明朝"/>
                <w:b w:val="false"/>
                <w:bCs w:val="false"/>
                <w:color w:val="262626"/>
                <w:sz w:val="21"/>
                <w:szCs w:val="21"/>
              </w:rPr>
              <w:t xml:space="preserve">「川崎町の保険料は近隣自治体と比較しても</w:t>
            </w:r>
            <w:r>
              <w:rPr>
                <w:rFonts w:ascii="游明朝" w:cs="游明朝" w:eastAsia="游明朝" w:hAnsi="游明朝"/>
                <w:b/>
                <w:bCs/>
                <w:color w:val="C00000"/>
                <w:sz w:val="21"/>
                <w:szCs w:val="21"/>
              </w:rPr>
              <w:t xml:space="preserve">抑制的な水準</w:t>
            </w:r>
            <w:r>
              <w:rPr>
                <w:rFonts w:ascii="游明朝" w:cs="游明朝" w:eastAsia="游明朝" w:hAnsi="游明朝"/>
                <w:b w:val="false"/>
                <w:bCs w:val="false"/>
                <w:color w:val="262626"/>
                <w:sz w:val="21"/>
                <w:szCs w:val="21"/>
              </w:rPr>
              <w:t xml:space="preserve">で運営されてきました」</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left"/>
            </w:pPr>
            <w:r>
              <w:rPr>
                <w:rFonts w:ascii="游明朝" w:cs="游明朝" w:eastAsia="游明朝" w:hAnsi="游明朝"/>
                <w:b w:val="false"/>
                <w:bCs w:val="false"/>
                <w:color w:val="262626"/>
                <w:sz w:val="21"/>
                <w:szCs w:val="21"/>
              </w:rPr>
              <w:t xml:space="preserve">「川崎町の保険料の</w:t>
            </w:r>
            <w:r>
              <w:rPr>
                <w:rFonts w:ascii="游明朝" w:cs="游明朝" w:eastAsia="游明朝" w:hAnsi="游明朝"/>
                <w:b/>
                <w:bCs/>
                <w:color w:val="548235"/>
                <w:sz w:val="21"/>
                <w:szCs w:val="21"/>
              </w:rPr>
              <w:t xml:space="preserve">上昇率は抑制的</w:t>
            </w:r>
            <w:r>
              <w:rPr>
                <w:rFonts w:ascii="游明朝" w:cs="游明朝" w:eastAsia="游明朝" w:hAnsi="游明朝"/>
                <w:b w:val="false"/>
                <w:bCs w:val="false"/>
                <w:color w:val="262626"/>
                <w:sz w:val="21"/>
                <w:szCs w:val="21"/>
              </w:rPr>
              <w:t xml:space="preserve">（第8→9期+1.9%、県・全国を下回る）に推移してきました」</w:t>
            </w:r>
          </w:p>
        </w:tc>
      </w:tr>
      <w:tr>
        <w:tc>
          <w:tcPr>
            <w:tcBorders>
              <w:top w:val="single" w:color="808080" w:sz="4"/>
              <w:left w:val="single" w:color="808080" w:sz="4"/>
              <w:bottom w:val="single" w:color="808080" w:sz="4"/>
              <w:right w:val="single" w:color="808080" w:sz="4"/>
            </w:tcBorders>
            <w:shd w:fill="F2F2F2" w:val="clear"/>
            <w:tcMar>
              <w:top w:type="dxa" w:w="60"/>
              <w:left w:type="dxa" w:w="110"/>
              <w:bottom w:type="dxa" w:w="60"/>
              <w:right w:type="dxa" w:w="110"/>
            </w:tcMar>
            <w:vAlign w:val="center"/>
          </w:tcPr>
          <w:p>
            <w:pPr>
              <w:jc w:val="center"/>
            </w:pPr>
            <w:r>
              <w:rPr>
                <w:rFonts w:ascii="游明朝" w:cs="游明朝" w:eastAsia="游明朝" w:hAnsi="游明朝"/>
                <w:b/>
                <w:bCs/>
                <w:color w:val="262626"/>
                <w:sz w:val="19"/>
                <w:szCs w:val="19"/>
              </w:rPr>
              <w:t xml:space="preserve">②</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left"/>
            </w:pPr>
            <w:r>
              <w:rPr>
                <w:rFonts w:ascii="游明朝" w:cs="游明朝" w:eastAsia="游明朝" w:hAnsi="游明朝"/>
                <w:b w:val="false"/>
                <w:bCs w:val="false"/>
                <w:color w:val="262626"/>
                <w:sz w:val="21"/>
                <w:szCs w:val="21"/>
              </w:rPr>
              <w:t xml:space="preserve">「第9期保険料6,500円は</w:t>
            </w:r>
            <w:r>
              <w:rPr>
                <w:rFonts w:ascii="游明朝" w:cs="游明朝" w:eastAsia="游明朝" w:hAnsi="游明朝"/>
                <w:b/>
                <w:bCs/>
                <w:color w:val="C00000"/>
                <w:sz w:val="21"/>
                <w:szCs w:val="21"/>
              </w:rPr>
              <w:t xml:space="preserve">宮城県平均水準</w:t>
            </w:r>
            <w:r>
              <w:rPr>
                <w:rFonts w:ascii="游明朝" w:cs="游明朝" w:eastAsia="游明朝" w:hAnsi="游明朝"/>
                <w:b w:val="false"/>
                <w:bCs w:val="false"/>
                <w:color w:val="262626"/>
                <w:sz w:val="21"/>
                <w:szCs w:val="21"/>
              </w:rPr>
              <w:t xml:space="preserve">で運営されている」</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left"/>
            </w:pPr>
            <w:r>
              <w:rPr>
                <w:rFonts w:ascii="游明朝" w:cs="游明朝" w:eastAsia="游明朝" w:hAnsi="游明朝"/>
                <w:b w:val="false"/>
                <w:bCs w:val="false"/>
                <w:color w:val="262626"/>
                <w:sz w:val="21"/>
                <w:szCs w:val="21"/>
              </w:rPr>
              <w:t xml:space="preserve">「第9期保険料6,500円は県加重平均（6,098円）を上回る</w:t>
            </w:r>
            <w:r>
              <w:rPr>
                <w:rFonts w:ascii="游明朝" w:cs="游明朝" w:eastAsia="游明朝" w:hAnsi="游明朝"/>
                <w:b/>
                <w:bCs/>
                <w:color w:val="C55A11"/>
                <w:sz w:val="21"/>
                <w:szCs w:val="21"/>
              </w:rPr>
              <w:t xml:space="preserve">県内上位水準</w:t>
            </w:r>
            <w:r>
              <w:rPr>
                <w:rFonts w:ascii="游明朝" w:cs="游明朝" w:eastAsia="游明朝" w:hAnsi="游明朝"/>
                <w:b w:val="false"/>
                <w:bCs w:val="false"/>
                <w:color w:val="262626"/>
                <w:sz w:val="21"/>
                <w:szCs w:val="21"/>
              </w:rPr>
              <w:t xml:space="preserve">であり、高齢化率41.4%（県内5位）と整合的な水準である」</w:t>
            </w:r>
          </w:p>
        </w:tc>
      </w:tr>
    </w:tbl>
    <w:p>
      <w:pPr>
        <w:spacing w:after="120"/>
      </w:pPr>
      <w:r>
        <w:rPr>
          <w:rFonts w:ascii="游明朝" w:cs="游明朝" w:eastAsia="游明朝" w:hAnsi="游明朝"/>
          <w:i/>
          <w:iCs/>
          <w:color w:val="808080"/>
          <w:sz w:val="17"/>
          <w:szCs w:val="17"/>
        </w:rPr>
        <w:t xml:space="preserve">※ この区別は金ヶ崎町案件で『県内最低水準の保険料』という表現を将来推計との整合リスクから保留とした方針と同一の考え方。断定的な水準表現は避け、構造的根拠とともに記述する。</w:t>
      </w:r>
    </w:p>
    <w:p>
      <w:r>
        <w:br w:type="page"/>
      </w:r>
    </w:p>
    <w:p>
      <w:pPr>
        <w:pBdr>
          <w:top w:val="single" w:color="1F3864" w:sz="2" w:space="6"/>
          <w:bottom w:val="single" w:color="1F3864" w:sz="2" w:space="6"/>
        </w:pBdr>
        <w:shd w:fill="1F3864" w:val="clear"/>
        <w:spacing w:after="160" w:before="320"/>
      </w:pPr>
      <w:r>
        <w:rPr>
          <w:rFonts w:ascii="游ゴシック" w:cs="游ゴシック" w:eastAsia="游ゴシック" w:hAnsi="游ゴシック"/>
          <w:b/>
          <w:bCs/>
          <w:color w:val="FFC000"/>
          <w:sz w:val="26"/>
          <w:szCs w:val="26"/>
        </w:rPr>
        <w:t xml:space="preserve">  5  </w:t>
      </w:r>
      <w:r>
        <w:rPr>
          <w:rFonts w:ascii="游ゴシック" w:cs="游ゴシック" w:eastAsia="游ゴシック" w:hAnsi="游ゴシック"/>
          <w:b/>
          <w:bCs/>
          <w:color w:val="FFFFFF"/>
          <w:sz w:val="26"/>
          <w:szCs w:val="26"/>
        </w:rPr>
        <w:t xml:space="preserve">要因分析 — なぜ川崎町は県内上位水準なのか</w:t>
      </w:r>
    </w:p>
    <w:p>
      <w:pPr>
        <w:spacing w:after="120" w:line="300"/>
        <w:jc w:val="both"/>
      </w:pPr>
      <w:r>
        <w:rPr>
          <w:rFonts w:ascii="游明朝" w:cs="游明朝" w:eastAsia="游明朝" w:hAnsi="游明朝"/>
          <w:color w:val="262626"/>
          <w:sz w:val="21"/>
          <w:szCs w:val="21"/>
        </w:rPr>
        <w:t xml:space="preserve">川崎町が県内上位の保険料水準にある理由は、給付費を押し上げる「構造的要因」と、保険料の伸びを抑えてきた「抑制要因」の両面から説明できます。</w:t>
      </w:r>
    </w:p>
    <w:p>
      <w:pPr>
        <w:pBdr>
          <w:left w:val="single" w:color="2E75B6" w:sz="18" w:space="8"/>
        </w:pBdr>
        <w:spacing w:after="100" w:before="220"/>
      </w:pPr>
      <w:r>
        <w:rPr>
          <w:rFonts w:ascii="游ゴシック" w:cs="游ゴシック" w:eastAsia="游ゴシック" w:hAnsi="游ゴシック"/>
          <w:b/>
          <w:bCs/>
          <w:color w:val="1F3864"/>
          <w:sz w:val="23"/>
          <w:szCs w:val="23"/>
        </w:rPr>
        <w:t xml:space="preserve"> (1) 保険料を押し上げる構造的要因（コスト・プッシュ）</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5800"/>
      </w:tblGrid>
      <w:tr>
        <w:trPr>
          <w:tblHeader/>
        </w:trPr>
        <w:tc>
          <w:tcPr>
            <w:tcW w:type="dxa" w:w="600"/>
            <w:tcBorders>
              <w:top w:val="single" w:color="808080" w:sz="4"/>
              <w:left w:val="single" w:color="808080" w:sz="4"/>
              <w:bottom w:val="single" w:color="808080" w:sz="4"/>
              <w:right w:val="single" w:color="808080" w:sz="4"/>
            </w:tcBorders>
            <w:shd w:fill="1F3864" w:val="clear"/>
            <w:tcMar>
              <w:top w:type="dxa" w:w="60"/>
              <w:left w:type="dxa" w:w="110"/>
              <w:bottom w:type="dxa" w:w="60"/>
              <w:right w:type="dxa" w:w="110"/>
            </w:tcMar>
            <w:vAlign w:val="center"/>
          </w:tcPr>
          <w:p>
            <w:pPr>
              <w:jc w:val="center"/>
            </w:pPr>
            <w:r>
              <w:rPr>
                <w:rFonts w:ascii="游ゴシック" w:cs="游ゴシック" w:eastAsia="游ゴシック" w:hAnsi="游ゴシック"/>
                <w:b/>
                <w:bCs/>
                <w:color w:val="FFFFFF"/>
                <w:sz w:val="19"/>
                <w:szCs w:val="19"/>
              </w:rPr>
              <w:t xml:space="preserve"/>
            </w:r>
          </w:p>
        </w:tc>
        <w:tc>
          <w:tcPr>
            <w:tcW w:type="dxa" w:w="2600"/>
            <w:tcBorders>
              <w:top w:val="single" w:color="808080" w:sz="4"/>
              <w:left w:val="single" w:color="808080" w:sz="4"/>
              <w:bottom w:val="single" w:color="808080" w:sz="4"/>
              <w:right w:val="single" w:color="808080" w:sz="4"/>
            </w:tcBorders>
            <w:shd w:fill="1F3864" w:val="clear"/>
            <w:tcMar>
              <w:top w:type="dxa" w:w="60"/>
              <w:left w:type="dxa" w:w="110"/>
              <w:bottom w:type="dxa" w:w="60"/>
              <w:right w:type="dxa" w:w="110"/>
            </w:tcMar>
            <w:vAlign w:val="center"/>
          </w:tcPr>
          <w:p>
            <w:pPr>
              <w:jc w:val="center"/>
            </w:pPr>
            <w:r>
              <w:rPr>
                <w:rFonts w:ascii="游ゴシック" w:cs="游ゴシック" w:eastAsia="游ゴシック" w:hAnsi="游ゴシック"/>
                <w:b/>
                <w:bCs/>
                <w:color w:val="FFFFFF"/>
                <w:sz w:val="19"/>
                <w:szCs w:val="19"/>
              </w:rPr>
              <w:t xml:space="preserve">要因</w:t>
            </w:r>
          </w:p>
        </w:tc>
        <w:tc>
          <w:tcPr>
            <w:tcW w:type="dxa" w:w="5800"/>
            <w:tcBorders>
              <w:top w:val="single" w:color="808080" w:sz="4"/>
              <w:left w:val="single" w:color="808080" w:sz="4"/>
              <w:bottom w:val="single" w:color="808080" w:sz="4"/>
              <w:right w:val="single" w:color="808080" w:sz="4"/>
            </w:tcBorders>
            <w:shd w:fill="1F3864" w:val="clear"/>
            <w:tcMar>
              <w:top w:type="dxa" w:w="60"/>
              <w:left w:type="dxa" w:w="110"/>
              <w:bottom w:type="dxa" w:w="60"/>
              <w:right w:type="dxa" w:w="110"/>
            </w:tcMar>
            <w:vAlign w:val="center"/>
          </w:tcPr>
          <w:p>
            <w:pPr>
              <w:jc w:val="center"/>
            </w:pPr>
            <w:r>
              <w:rPr>
                <w:rFonts w:ascii="游ゴシック" w:cs="游ゴシック" w:eastAsia="游ゴシック" w:hAnsi="游ゴシック"/>
                <w:b/>
                <w:bCs/>
                <w:color w:val="FFFFFF"/>
                <w:sz w:val="19"/>
                <w:szCs w:val="19"/>
              </w:rPr>
              <w:t xml:space="preserve">内容と保険料への影響</w:t>
            </w:r>
          </w:p>
        </w:tc>
      </w:tr>
      <w:tr>
        <w:tc>
          <w:tcPr>
            <w:tcBorders>
              <w:top w:val="single" w:color="808080" w:sz="4"/>
              <w:left w:val="single" w:color="808080" w:sz="4"/>
              <w:bottom w:val="single" w:color="808080" w:sz="4"/>
              <w:right w:val="single" w:color="808080" w:sz="4"/>
            </w:tcBorders>
            <w:shd w:fill="FCE4D6" w:val="clear"/>
            <w:tcMar>
              <w:top w:type="dxa" w:w="60"/>
              <w:left w:type="dxa" w:w="110"/>
              <w:bottom w:type="dxa" w:w="60"/>
              <w:right w:type="dxa" w:w="110"/>
            </w:tcMar>
            <w:vAlign w:val="center"/>
          </w:tcPr>
          <w:p>
            <w:pPr>
              <w:jc w:val="center"/>
            </w:pPr>
            <w:r>
              <w:rPr>
                <w:rFonts w:ascii="游明朝" w:cs="游明朝" w:eastAsia="游明朝" w:hAnsi="游明朝"/>
                <w:b/>
                <w:bCs/>
                <w:color w:val="262626"/>
                <w:sz w:val="19"/>
                <w:szCs w:val="19"/>
              </w:rPr>
              <w:t xml:space="preserve">①</w:t>
            </w:r>
          </w:p>
        </w:tc>
        <w:tc>
          <w:tcPr>
            <w:tcBorders>
              <w:top w:val="single" w:color="808080" w:sz="4"/>
              <w:left w:val="single" w:color="808080" w:sz="4"/>
              <w:bottom w:val="single" w:color="808080" w:sz="4"/>
              <w:right w:val="single" w:color="808080" w:sz="4"/>
            </w:tcBorders>
            <w:shd w:fill="FCE4D6" w:val="clear"/>
            <w:tcMar>
              <w:top w:type="dxa" w:w="60"/>
              <w:left w:type="dxa" w:w="110"/>
              <w:bottom w:type="dxa" w:w="60"/>
              <w:right w:type="dxa" w:w="110"/>
            </w:tcMar>
            <w:vAlign w:val="center"/>
          </w:tcPr>
          <w:p>
            <w:pPr>
              <w:jc w:val="left"/>
            </w:pPr>
            <w:r>
              <w:rPr>
                <w:rFonts w:ascii="游明朝" w:cs="游明朝" w:eastAsia="游明朝" w:hAnsi="游明朝"/>
                <w:b/>
                <w:bCs/>
                <w:color w:val="262626"/>
                <w:sz w:val="19"/>
                <w:szCs w:val="19"/>
              </w:rPr>
              <w:t xml:space="preserve">高齢化率の高さ</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left"/>
            </w:pPr>
            <w:r>
              <w:rPr>
                <w:rFonts w:ascii="游明朝" w:cs="游明朝" w:eastAsia="游明朝" w:hAnsi="游明朝"/>
                <w:b w:val="false"/>
                <w:bCs w:val="false"/>
                <w:color w:val="262626"/>
                <w:sz w:val="21"/>
                <w:szCs w:val="21"/>
              </w:rPr>
              <w:t xml:space="preserve">高齢化率41.4%（県内5位・全国29.1%／県28.5%を大きく上回る）。第1号被保険者3,244人に対する認定者・給付対象者の母数が構造的に大きい。</w:t>
            </w:r>
          </w:p>
        </w:tc>
      </w:tr>
      <w:tr>
        <w:tc>
          <w:tcPr>
            <w:tcBorders>
              <w:top w:val="single" w:color="808080" w:sz="4"/>
              <w:left w:val="single" w:color="808080" w:sz="4"/>
              <w:bottom w:val="single" w:color="808080" w:sz="4"/>
              <w:right w:val="single" w:color="808080" w:sz="4"/>
            </w:tcBorders>
            <w:shd w:fill="FCE4D6" w:val="clear"/>
            <w:tcMar>
              <w:top w:type="dxa" w:w="60"/>
              <w:left w:type="dxa" w:w="110"/>
              <w:bottom w:type="dxa" w:w="60"/>
              <w:right w:type="dxa" w:w="110"/>
            </w:tcMar>
            <w:vAlign w:val="center"/>
          </w:tcPr>
          <w:p>
            <w:pPr>
              <w:jc w:val="center"/>
            </w:pPr>
            <w:r>
              <w:rPr>
                <w:rFonts w:ascii="游明朝" w:cs="游明朝" w:eastAsia="游明朝" w:hAnsi="游明朝"/>
                <w:b/>
                <w:bCs/>
                <w:color w:val="262626"/>
                <w:sz w:val="19"/>
                <w:szCs w:val="19"/>
              </w:rPr>
              <w:t xml:space="preserve">②</w:t>
            </w:r>
          </w:p>
        </w:tc>
        <w:tc>
          <w:tcPr>
            <w:tcBorders>
              <w:top w:val="single" w:color="808080" w:sz="4"/>
              <w:left w:val="single" w:color="808080" w:sz="4"/>
              <w:bottom w:val="single" w:color="808080" w:sz="4"/>
              <w:right w:val="single" w:color="808080" w:sz="4"/>
            </w:tcBorders>
            <w:shd w:fill="FCE4D6" w:val="clear"/>
            <w:tcMar>
              <w:top w:type="dxa" w:w="60"/>
              <w:left w:type="dxa" w:w="110"/>
              <w:bottom w:type="dxa" w:w="60"/>
              <w:right w:type="dxa" w:w="110"/>
            </w:tcMar>
            <w:vAlign w:val="center"/>
          </w:tcPr>
          <w:p>
            <w:pPr>
              <w:jc w:val="left"/>
            </w:pPr>
            <w:r>
              <w:rPr>
                <w:rFonts w:ascii="游明朝" w:cs="游明朝" w:eastAsia="游明朝" w:hAnsi="游明朝"/>
                <w:b/>
                <w:bCs/>
                <w:color w:val="262626"/>
                <w:sz w:val="19"/>
                <w:szCs w:val="19"/>
              </w:rPr>
              <w:t xml:space="preserve">後期高齢者比率の高さと急増</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left"/>
            </w:pPr>
            <w:r>
              <w:rPr>
                <w:rFonts w:ascii="游明朝" w:cs="游明朝" w:eastAsia="游明朝" w:hAnsi="游明朝"/>
                <w:b w:val="false"/>
                <w:bCs w:val="false"/>
                <w:color w:val="262626"/>
                <w:sz w:val="21"/>
                <w:szCs w:val="21"/>
              </w:rPr>
              <w:t xml:space="preserve">75歳以上1,675人（51.6%）。4年で+10.9%増。後期高齢者の認定率は前期高齢者の</w:t>
            </w:r>
            <w:r>
              <w:rPr>
                <w:rFonts w:ascii="游明朝" w:cs="游明朝" w:eastAsia="游明朝" w:hAnsi="游明朝"/>
                <w:b/>
                <w:bCs/>
                <w:color w:val="C55A11"/>
                <w:sz w:val="21"/>
                <w:szCs w:val="21"/>
              </w:rPr>
              <w:t xml:space="preserve">約4〜5倍</w:t>
            </w:r>
            <w:r>
              <w:rPr>
                <w:rFonts w:ascii="游明朝" w:cs="游明朝" w:eastAsia="游明朝" w:hAnsi="游明朝"/>
                <w:b w:val="false"/>
                <w:bCs w:val="false"/>
                <w:color w:val="262626"/>
                <w:sz w:val="21"/>
                <w:szCs w:val="21"/>
              </w:rPr>
              <w:t xml:space="preserve">であり、認定者数・給付費の押し上げ要因。</w:t>
            </w:r>
          </w:p>
        </w:tc>
      </w:tr>
      <w:tr>
        <w:tc>
          <w:tcPr>
            <w:tcBorders>
              <w:top w:val="single" w:color="808080" w:sz="4"/>
              <w:left w:val="single" w:color="808080" w:sz="4"/>
              <w:bottom w:val="single" w:color="808080" w:sz="4"/>
              <w:right w:val="single" w:color="808080" w:sz="4"/>
            </w:tcBorders>
            <w:shd w:fill="FCE4D6" w:val="clear"/>
            <w:tcMar>
              <w:top w:type="dxa" w:w="60"/>
              <w:left w:type="dxa" w:w="110"/>
              <w:bottom w:type="dxa" w:w="60"/>
              <w:right w:type="dxa" w:w="110"/>
            </w:tcMar>
            <w:vAlign w:val="center"/>
          </w:tcPr>
          <w:p>
            <w:pPr>
              <w:jc w:val="center"/>
            </w:pPr>
            <w:r>
              <w:rPr>
                <w:rFonts w:ascii="游明朝" w:cs="游明朝" w:eastAsia="游明朝" w:hAnsi="游明朝"/>
                <w:b/>
                <w:bCs/>
                <w:color w:val="262626"/>
                <w:sz w:val="19"/>
                <w:szCs w:val="19"/>
              </w:rPr>
              <w:t xml:space="preserve">③</w:t>
            </w:r>
          </w:p>
        </w:tc>
        <w:tc>
          <w:tcPr>
            <w:tcBorders>
              <w:top w:val="single" w:color="808080" w:sz="4"/>
              <w:left w:val="single" w:color="808080" w:sz="4"/>
              <w:bottom w:val="single" w:color="808080" w:sz="4"/>
              <w:right w:val="single" w:color="808080" w:sz="4"/>
            </w:tcBorders>
            <w:shd w:fill="FCE4D6" w:val="clear"/>
            <w:tcMar>
              <w:top w:type="dxa" w:w="60"/>
              <w:left w:type="dxa" w:w="110"/>
              <w:bottom w:type="dxa" w:w="60"/>
              <w:right w:type="dxa" w:w="110"/>
            </w:tcMar>
            <w:vAlign w:val="center"/>
          </w:tcPr>
          <w:p>
            <w:pPr>
              <w:jc w:val="left"/>
            </w:pPr>
            <w:r>
              <w:rPr>
                <w:rFonts w:ascii="游明朝" w:cs="游明朝" w:eastAsia="游明朝" w:hAnsi="游明朝"/>
                <w:b/>
                <w:bCs/>
                <w:color w:val="262626"/>
                <w:sz w:val="19"/>
                <w:szCs w:val="19"/>
              </w:rPr>
              <w:t xml:space="preserve">施設サービス給付比率の高さ</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left"/>
            </w:pPr>
            <w:r>
              <w:rPr>
                <w:rFonts w:ascii="游明朝" w:cs="游明朝" w:eastAsia="游明朝" w:hAnsi="游明朝"/>
                <w:b w:val="false"/>
                <w:bCs w:val="false"/>
                <w:color w:val="262626"/>
                <w:sz w:val="21"/>
                <w:szCs w:val="21"/>
              </w:rPr>
              <w:t xml:space="preserve">R3給付費構成は</w:t>
            </w:r>
            <w:r>
              <w:rPr>
                <w:rFonts w:ascii="游明朝" w:cs="游明朝" w:eastAsia="游明朝" w:hAnsi="游明朝"/>
                <w:b/>
                <w:bCs/>
                <w:color w:val="C00000"/>
                <w:sz w:val="21"/>
                <w:szCs w:val="21"/>
              </w:rPr>
              <w:t xml:space="preserve">施設46.0%</w:t>
            </w:r>
            <w:r>
              <w:rPr>
                <w:rFonts w:ascii="游明朝" w:cs="游明朝" w:eastAsia="游明朝" w:hAnsi="游明朝"/>
                <w:b w:val="false"/>
                <w:bCs w:val="false"/>
                <w:color w:val="262626"/>
                <w:sz w:val="21"/>
                <w:szCs w:val="21"/>
              </w:rPr>
              <w:t xml:space="preserve">・居宅38.1%・地域密着15.9%。施設サービスは1人当たり給付単価が最も高く、施設給付比率の高さが1人当たり給付費を押し上げる</w:t>
            </w:r>
            <w:r>
              <w:rPr>
                <w:rFonts w:ascii="游明朝" w:cs="游明朝" w:eastAsia="游明朝" w:hAnsi="游明朝"/>
                <w:b/>
                <w:bCs/>
                <w:color w:val="1F3864"/>
                <w:sz w:val="21"/>
                <w:szCs w:val="21"/>
              </w:rPr>
              <w:t xml:space="preserve">最大の説明要因</w:t>
            </w:r>
            <w:r>
              <w:rPr>
                <w:rFonts w:ascii="游明朝" w:cs="游明朝" w:eastAsia="游明朝" w:hAnsi="游明朝"/>
                <w:b w:val="false"/>
                <w:bCs w:val="false"/>
                <w:color w:val="262626"/>
                <w:sz w:val="21"/>
                <w:szCs w:val="21"/>
              </w:rPr>
              <w:t xml:space="preserve">。</w:t>
            </w:r>
          </w:p>
        </w:tc>
      </w:tr>
      <w:tr>
        <w:tc>
          <w:tcPr>
            <w:tcBorders>
              <w:top w:val="single" w:color="808080" w:sz="4"/>
              <w:left w:val="single" w:color="808080" w:sz="4"/>
              <w:bottom w:val="single" w:color="808080" w:sz="4"/>
              <w:right w:val="single" w:color="808080" w:sz="4"/>
            </w:tcBorders>
            <w:shd w:fill="FCE4D6" w:val="clear"/>
            <w:tcMar>
              <w:top w:type="dxa" w:w="60"/>
              <w:left w:type="dxa" w:w="110"/>
              <w:bottom w:type="dxa" w:w="60"/>
              <w:right w:type="dxa" w:w="110"/>
            </w:tcMar>
            <w:vAlign w:val="center"/>
          </w:tcPr>
          <w:p>
            <w:pPr>
              <w:jc w:val="center"/>
            </w:pPr>
            <w:r>
              <w:rPr>
                <w:rFonts w:ascii="游明朝" w:cs="游明朝" w:eastAsia="游明朝" w:hAnsi="游明朝"/>
                <w:b/>
                <w:bCs/>
                <w:color w:val="262626"/>
                <w:sz w:val="19"/>
                <w:szCs w:val="19"/>
              </w:rPr>
              <w:t xml:space="preserve">④</w:t>
            </w:r>
          </w:p>
        </w:tc>
        <w:tc>
          <w:tcPr>
            <w:tcBorders>
              <w:top w:val="single" w:color="808080" w:sz="4"/>
              <w:left w:val="single" w:color="808080" w:sz="4"/>
              <w:bottom w:val="single" w:color="808080" w:sz="4"/>
              <w:right w:val="single" w:color="808080" w:sz="4"/>
            </w:tcBorders>
            <w:shd w:fill="FCE4D6" w:val="clear"/>
            <w:tcMar>
              <w:top w:type="dxa" w:w="60"/>
              <w:left w:type="dxa" w:w="110"/>
              <w:bottom w:type="dxa" w:w="60"/>
              <w:right w:type="dxa" w:w="110"/>
            </w:tcMar>
            <w:vAlign w:val="center"/>
          </w:tcPr>
          <w:p>
            <w:pPr>
              <w:jc w:val="left"/>
            </w:pPr>
            <w:r>
              <w:rPr>
                <w:rFonts w:ascii="游明朝" w:cs="游明朝" w:eastAsia="游明朝" w:hAnsi="游明朝"/>
                <w:b/>
                <w:bCs/>
                <w:color w:val="262626"/>
                <w:sz w:val="19"/>
                <w:szCs w:val="19"/>
              </w:rPr>
              <w:t xml:space="preserve">町外施設依存（住所地特例）</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left"/>
            </w:pPr>
            <w:r>
              <w:rPr>
                <w:rFonts w:ascii="游明朝" w:cs="游明朝" w:eastAsia="游明朝" w:hAnsi="游明朝"/>
                <w:b w:val="false"/>
                <w:bCs w:val="false"/>
                <w:color w:val="262626"/>
                <w:sz w:val="21"/>
                <w:szCs w:val="21"/>
              </w:rPr>
              <w:t xml:space="preserve">住所地特例24人（R7.6）。町外施設利用者分も保険者として給付負担。施設の地域偏在を背景に町外依存度が比較的高く、給付費に上方寄与。</w:t>
            </w:r>
          </w:p>
        </w:tc>
      </w:tr>
    </w:tbl>
    <w:p>
      <w:pPr>
        <w:pBdr>
          <w:top w:val="single" w:color="DEEBF7" w:sz="2" w:space="4"/>
          <w:left w:val="single" w:color="2E75B6" w:sz="18" w:space="10"/>
          <w:bottom w:val="single" w:color="DEEBF7" w:sz="2" w:space="4"/>
        </w:pBdr>
        <w:shd w:fill="DEEBF7" w:val="clear"/>
        <w:spacing w:after="140" w:before="80"/>
      </w:pPr>
      <w:r>
        <w:rPr>
          <w:rFonts w:ascii="游ゴシック" w:cs="游ゴシック" w:eastAsia="游ゴシック" w:hAnsi="游ゴシック"/>
          <w:b/>
          <w:bCs/>
          <w:color w:val="1F3864"/>
          <w:sz w:val="21"/>
          <w:szCs w:val="21"/>
        </w:rPr>
        <w:t xml:space="preserve">● 上位水準の主因は『施設給付比率46.0%×後期高齢者比率51.6%』。これは保険者の非効率ではなく、高齢化が進んだ中山間小規模町の構造的特性である。</w:t>
      </w:r>
    </w:p>
    <w:p>
      <w:pPr>
        <w:pBdr>
          <w:left w:val="single" w:color="2E75B6" w:sz="18" w:space="8"/>
        </w:pBdr>
        <w:spacing w:after="100" w:before="220"/>
      </w:pPr>
      <w:r>
        <w:rPr>
          <w:rFonts w:ascii="游ゴシック" w:cs="游ゴシック" w:eastAsia="游ゴシック" w:hAnsi="游ゴシック"/>
          <w:b/>
          <w:bCs/>
          <w:color w:val="1F3864"/>
          <w:sz w:val="23"/>
          <w:szCs w:val="23"/>
        </w:rPr>
        <w:t xml:space="preserve"> (2) 保険料の上昇を抑えてきた抑制要因（+1.9%にとどめた要因）</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5800"/>
      </w:tblGrid>
      <w:tr>
        <w:trPr>
          <w:tblHeader/>
        </w:trPr>
        <w:tc>
          <w:tcPr>
            <w:tcW w:type="dxa" w:w="600"/>
            <w:tcBorders>
              <w:top w:val="single" w:color="808080" w:sz="4"/>
              <w:left w:val="single" w:color="808080" w:sz="4"/>
              <w:bottom w:val="single" w:color="808080" w:sz="4"/>
              <w:right w:val="single" w:color="808080" w:sz="4"/>
            </w:tcBorders>
            <w:shd w:fill="1F3864" w:val="clear"/>
            <w:tcMar>
              <w:top w:type="dxa" w:w="60"/>
              <w:left w:type="dxa" w:w="110"/>
              <w:bottom w:type="dxa" w:w="60"/>
              <w:right w:type="dxa" w:w="110"/>
            </w:tcMar>
            <w:vAlign w:val="center"/>
          </w:tcPr>
          <w:p>
            <w:pPr>
              <w:jc w:val="center"/>
            </w:pPr>
            <w:r>
              <w:rPr>
                <w:rFonts w:ascii="游ゴシック" w:cs="游ゴシック" w:eastAsia="游ゴシック" w:hAnsi="游ゴシック"/>
                <w:b/>
                <w:bCs/>
                <w:color w:val="FFFFFF"/>
                <w:sz w:val="19"/>
                <w:szCs w:val="19"/>
              </w:rPr>
              <w:t xml:space="preserve"/>
            </w:r>
          </w:p>
        </w:tc>
        <w:tc>
          <w:tcPr>
            <w:tcW w:type="dxa" w:w="2600"/>
            <w:tcBorders>
              <w:top w:val="single" w:color="808080" w:sz="4"/>
              <w:left w:val="single" w:color="808080" w:sz="4"/>
              <w:bottom w:val="single" w:color="808080" w:sz="4"/>
              <w:right w:val="single" w:color="808080" w:sz="4"/>
            </w:tcBorders>
            <w:shd w:fill="1F3864" w:val="clear"/>
            <w:tcMar>
              <w:top w:type="dxa" w:w="60"/>
              <w:left w:type="dxa" w:w="110"/>
              <w:bottom w:type="dxa" w:w="60"/>
              <w:right w:type="dxa" w:w="110"/>
            </w:tcMar>
            <w:vAlign w:val="center"/>
          </w:tcPr>
          <w:p>
            <w:pPr>
              <w:jc w:val="center"/>
            </w:pPr>
            <w:r>
              <w:rPr>
                <w:rFonts w:ascii="游ゴシック" w:cs="游ゴシック" w:eastAsia="游ゴシック" w:hAnsi="游ゴシック"/>
                <w:b/>
                <w:bCs/>
                <w:color w:val="FFFFFF"/>
                <w:sz w:val="19"/>
                <w:szCs w:val="19"/>
              </w:rPr>
              <w:t xml:space="preserve">要因</w:t>
            </w:r>
          </w:p>
        </w:tc>
        <w:tc>
          <w:tcPr>
            <w:tcW w:type="dxa" w:w="5800"/>
            <w:tcBorders>
              <w:top w:val="single" w:color="808080" w:sz="4"/>
              <w:left w:val="single" w:color="808080" w:sz="4"/>
              <w:bottom w:val="single" w:color="808080" w:sz="4"/>
              <w:right w:val="single" w:color="808080" w:sz="4"/>
            </w:tcBorders>
            <w:shd w:fill="1F3864" w:val="clear"/>
            <w:tcMar>
              <w:top w:type="dxa" w:w="60"/>
              <w:left w:type="dxa" w:w="110"/>
              <w:bottom w:type="dxa" w:w="60"/>
              <w:right w:type="dxa" w:w="110"/>
            </w:tcMar>
            <w:vAlign w:val="center"/>
          </w:tcPr>
          <w:p>
            <w:pPr>
              <w:jc w:val="center"/>
            </w:pPr>
            <w:r>
              <w:rPr>
                <w:rFonts w:ascii="游ゴシック" w:cs="游ゴシック" w:eastAsia="游ゴシック" w:hAnsi="游ゴシック"/>
                <w:b/>
                <w:bCs/>
                <w:color w:val="FFFFFF"/>
                <w:sz w:val="19"/>
                <w:szCs w:val="19"/>
              </w:rPr>
              <w:t xml:space="preserve">内容と保険料への影響</w:t>
            </w:r>
          </w:p>
        </w:tc>
      </w:tr>
      <w:tr>
        <w:tc>
          <w:tcPr>
            <w:tcBorders>
              <w:top w:val="single" w:color="808080" w:sz="4"/>
              <w:left w:val="single" w:color="808080" w:sz="4"/>
              <w:bottom w:val="single" w:color="808080" w:sz="4"/>
              <w:right w:val="single" w:color="808080" w:sz="4"/>
            </w:tcBorders>
            <w:shd w:fill="E2EFDA" w:val="clear"/>
            <w:tcMar>
              <w:top w:type="dxa" w:w="60"/>
              <w:left w:type="dxa" w:w="110"/>
              <w:bottom w:type="dxa" w:w="60"/>
              <w:right w:type="dxa" w:w="110"/>
            </w:tcMar>
            <w:vAlign w:val="center"/>
          </w:tcPr>
          <w:p>
            <w:pPr>
              <w:jc w:val="center"/>
            </w:pPr>
            <w:r>
              <w:rPr>
                <w:rFonts w:ascii="游明朝" w:cs="游明朝" w:eastAsia="游明朝" w:hAnsi="游明朝"/>
                <w:b/>
                <w:bCs/>
                <w:color w:val="262626"/>
                <w:sz w:val="19"/>
                <w:szCs w:val="19"/>
              </w:rPr>
              <w:t xml:space="preserve">①</w:t>
            </w:r>
          </w:p>
        </w:tc>
        <w:tc>
          <w:tcPr>
            <w:tcBorders>
              <w:top w:val="single" w:color="808080" w:sz="4"/>
              <w:left w:val="single" w:color="808080" w:sz="4"/>
              <w:bottom w:val="single" w:color="808080" w:sz="4"/>
              <w:right w:val="single" w:color="808080" w:sz="4"/>
            </w:tcBorders>
            <w:shd w:fill="E2EFDA" w:val="clear"/>
            <w:tcMar>
              <w:top w:type="dxa" w:w="60"/>
              <w:left w:type="dxa" w:w="110"/>
              <w:bottom w:type="dxa" w:w="60"/>
              <w:right w:type="dxa" w:w="110"/>
            </w:tcMar>
            <w:vAlign w:val="center"/>
          </w:tcPr>
          <w:p>
            <w:pPr>
              <w:jc w:val="left"/>
            </w:pPr>
            <w:r>
              <w:rPr>
                <w:rFonts w:ascii="游明朝" w:cs="游明朝" w:eastAsia="游明朝" w:hAnsi="游明朝"/>
                <w:b/>
                <w:bCs/>
                <w:color w:val="262626"/>
                <w:sz w:val="19"/>
                <w:szCs w:val="19"/>
              </w:rPr>
              <w:t xml:space="preserve">町独自の介護予防事業</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left"/>
            </w:pPr>
            <w:r>
              <w:rPr>
                <w:rFonts w:ascii="游明朝" w:cs="游明朝" w:eastAsia="游明朝" w:hAnsi="游明朝"/>
                <w:b w:val="false"/>
                <w:bCs w:val="false"/>
                <w:color w:val="262626"/>
                <w:sz w:val="21"/>
                <w:szCs w:val="21"/>
              </w:rPr>
              <w:t xml:space="preserve">ユニバーサルサポーター制度（14種別約400名）・介護予防84名等の住民主体活動。認定率の上昇を抑制し、給付費の自然増を緩和。</w:t>
            </w:r>
          </w:p>
        </w:tc>
      </w:tr>
      <w:tr>
        <w:tc>
          <w:tcPr>
            <w:tcBorders>
              <w:top w:val="single" w:color="808080" w:sz="4"/>
              <w:left w:val="single" w:color="808080" w:sz="4"/>
              <w:bottom w:val="single" w:color="808080" w:sz="4"/>
              <w:right w:val="single" w:color="808080" w:sz="4"/>
            </w:tcBorders>
            <w:shd w:fill="E2EFDA" w:val="clear"/>
            <w:tcMar>
              <w:top w:type="dxa" w:w="60"/>
              <w:left w:type="dxa" w:w="110"/>
              <w:bottom w:type="dxa" w:w="60"/>
              <w:right w:type="dxa" w:w="110"/>
            </w:tcMar>
            <w:vAlign w:val="center"/>
          </w:tcPr>
          <w:p>
            <w:pPr>
              <w:jc w:val="center"/>
            </w:pPr>
            <w:r>
              <w:rPr>
                <w:rFonts w:ascii="游明朝" w:cs="游明朝" w:eastAsia="游明朝" w:hAnsi="游明朝"/>
                <w:b/>
                <w:bCs/>
                <w:color w:val="262626"/>
                <w:sz w:val="19"/>
                <w:szCs w:val="19"/>
              </w:rPr>
              <w:t xml:space="preserve">②</w:t>
            </w:r>
          </w:p>
        </w:tc>
        <w:tc>
          <w:tcPr>
            <w:tcBorders>
              <w:top w:val="single" w:color="808080" w:sz="4"/>
              <w:left w:val="single" w:color="808080" w:sz="4"/>
              <w:bottom w:val="single" w:color="808080" w:sz="4"/>
              <w:right w:val="single" w:color="808080" w:sz="4"/>
            </w:tcBorders>
            <w:shd w:fill="E2EFDA" w:val="clear"/>
            <w:tcMar>
              <w:top w:type="dxa" w:w="60"/>
              <w:left w:type="dxa" w:w="110"/>
              <w:bottom w:type="dxa" w:w="60"/>
              <w:right w:type="dxa" w:w="110"/>
            </w:tcMar>
            <w:vAlign w:val="center"/>
          </w:tcPr>
          <w:p>
            <w:pPr>
              <w:jc w:val="left"/>
            </w:pPr>
            <w:r>
              <w:rPr>
                <w:rFonts w:ascii="游明朝" w:cs="游明朝" w:eastAsia="游明朝" w:hAnsi="游明朝"/>
                <w:b/>
                <w:bCs/>
                <w:color w:val="262626"/>
                <w:sz w:val="19"/>
                <w:szCs w:val="19"/>
              </w:rPr>
              <w:t xml:space="preserve">介護給付費準備基金の取崩</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left"/>
            </w:pPr>
            <w:r>
              <w:rPr>
                <w:rFonts w:ascii="游明朝" w:cs="游明朝" w:eastAsia="游明朝" w:hAnsi="游明朝"/>
                <w:b w:val="false"/>
                <w:bCs w:val="false"/>
                <w:color w:val="262626"/>
                <w:sz w:val="21"/>
                <w:szCs w:val="21"/>
              </w:rPr>
              <w:t xml:space="preserve">剰余金の積立基金を取り崩し、保険料基準額の上昇を直接抑制（第10期も3パターンで活用を検討）。</w:t>
            </w:r>
          </w:p>
        </w:tc>
      </w:tr>
      <w:tr>
        <w:tc>
          <w:tcPr>
            <w:tcBorders>
              <w:top w:val="single" w:color="808080" w:sz="4"/>
              <w:left w:val="single" w:color="808080" w:sz="4"/>
              <w:bottom w:val="single" w:color="808080" w:sz="4"/>
              <w:right w:val="single" w:color="808080" w:sz="4"/>
            </w:tcBorders>
            <w:shd w:fill="E2EFDA" w:val="clear"/>
            <w:tcMar>
              <w:top w:type="dxa" w:w="60"/>
              <w:left w:type="dxa" w:w="110"/>
              <w:bottom w:type="dxa" w:w="60"/>
              <w:right w:type="dxa" w:w="110"/>
            </w:tcMar>
            <w:vAlign w:val="center"/>
          </w:tcPr>
          <w:p>
            <w:pPr>
              <w:jc w:val="center"/>
            </w:pPr>
            <w:r>
              <w:rPr>
                <w:rFonts w:ascii="游明朝" w:cs="游明朝" w:eastAsia="游明朝" w:hAnsi="游明朝"/>
                <w:b/>
                <w:bCs/>
                <w:color w:val="262626"/>
                <w:sz w:val="19"/>
                <w:szCs w:val="19"/>
              </w:rPr>
              <w:t xml:space="preserve">③</w:t>
            </w:r>
          </w:p>
        </w:tc>
        <w:tc>
          <w:tcPr>
            <w:tcBorders>
              <w:top w:val="single" w:color="808080" w:sz="4"/>
              <w:left w:val="single" w:color="808080" w:sz="4"/>
              <w:bottom w:val="single" w:color="808080" w:sz="4"/>
              <w:right w:val="single" w:color="808080" w:sz="4"/>
            </w:tcBorders>
            <w:shd w:fill="E2EFDA" w:val="clear"/>
            <w:tcMar>
              <w:top w:type="dxa" w:w="60"/>
              <w:left w:type="dxa" w:w="110"/>
              <w:bottom w:type="dxa" w:w="60"/>
              <w:right w:type="dxa" w:w="110"/>
            </w:tcMar>
            <w:vAlign w:val="center"/>
          </w:tcPr>
          <w:p>
            <w:pPr>
              <w:jc w:val="left"/>
            </w:pPr>
            <w:r>
              <w:rPr>
                <w:rFonts w:ascii="游明朝" w:cs="游明朝" w:eastAsia="游明朝" w:hAnsi="游明朝"/>
                <w:b/>
                <w:bCs/>
                <w:color w:val="262626"/>
                <w:sz w:val="19"/>
                <w:szCs w:val="19"/>
              </w:rPr>
              <w:t xml:space="preserve">高い収納率</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left"/>
            </w:pPr>
            <w:r>
              <w:rPr>
                <w:rFonts w:ascii="游明朝" w:cs="游明朝" w:eastAsia="游明朝" w:hAnsi="游明朝"/>
                <w:b w:val="false"/>
                <w:bCs w:val="false"/>
                <w:color w:val="262626"/>
                <w:sz w:val="21"/>
                <w:szCs w:val="21"/>
              </w:rPr>
              <w:t xml:space="preserve">R3総合収納率96.3%・現年度99.0%・特別徴収100.0%。収納必要額の確保が安定し、未収リスク分の上乗せが小さい。</w:t>
            </w:r>
          </w:p>
        </w:tc>
      </w:tr>
      <w:tr>
        <w:tc>
          <w:tcPr>
            <w:tcBorders>
              <w:top w:val="single" w:color="808080" w:sz="4"/>
              <w:left w:val="single" w:color="808080" w:sz="4"/>
              <w:bottom w:val="single" w:color="808080" w:sz="4"/>
              <w:right w:val="single" w:color="808080" w:sz="4"/>
            </w:tcBorders>
            <w:shd w:fill="E2EFDA" w:val="clear"/>
            <w:tcMar>
              <w:top w:type="dxa" w:w="60"/>
              <w:left w:type="dxa" w:w="110"/>
              <w:bottom w:type="dxa" w:w="60"/>
              <w:right w:type="dxa" w:w="110"/>
            </w:tcMar>
            <w:vAlign w:val="center"/>
          </w:tcPr>
          <w:p>
            <w:pPr>
              <w:jc w:val="center"/>
            </w:pPr>
            <w:r>
              <w:rPr>
                <w:rFonts w:ascii="游明朝" w:cs="游明朝" w:eastAsia="游明朝" w:hAnsi="游明朝"/>
                <w:b/>
                <w:bCs/>
                <w:color w:val="262626"/>
                <w:sz w:val="19"/>
                <w:szCs w:val="19"/>
              </w:rPr>
              <w:t xml:space="preserve">④</w:t>
            </w:r>
          </w:p>
        </w:tc>
        <w:tc>
          <w:tcPr>
            <w:tcBorders>
              <w:top w:val="single" w:color="808080" w:sz="4"/>
              <w:left w:val="single" w:color="808080" w:sz="4"/>
              <w:bottom w:val="single" w:color="808080" w:sz="4"/>
              <w:right w:val="single" w:color="808080" w:sz="4"/>
            </w:tcBorders>
            <w:shd w:fill="E2EFDA" w:val="clear"/>
            <w:tcMar>
              <w:top w:type="dxa" w:w="60"/>
              <w:left w:type="dxa" w:w="110"/>
              <w:bottom w:type="dxa" w:w="60"/>
              <w:right w:type="dxa" w:w="110"/>
            </w:tcMar>
            <w:vAlign w:val="center"/>
          </w:tcPr>
          <w:p>
            <w:pPr>
              <w:jc w:val="left"/>
            </w:pPr>
            <w:r>
              <w:rPr>
                <w:rFonts w:ascii="游明朝" w:cs="游明朝" w:eastAsia="游明朝" w:hAnsi="游明朝"/>
                <w:b/>
                <w:bCs/>
                <w:color w:val="262626"/>
                <w:sz w:val="19"/>
                <w:szCs w:val="19"/>
              </w:rPr>
              <w:t xml:space="preserve">第1号被保険者数の安定</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left"/>
            </w:pPr>
            <w:r>
              <w:rPr>
                <w:rFonts w:ascii="游明朝" w:cs="游明朝" w:eastAsia="游明朝" w:hAnsi="游明朝"/>
                <w:b w:val="false"/>
                <w:bCs w:val="false"/>
                <w:color w:val="262626"/>
                <w:sz w:val="21"/>
                <w:szCs w:val="21"/>
              </w:rPr>
              <w:t xml:space="preserve">被保険者数は3,255→3,244人（△0.3%）とほぼ横ばい。1人当たり負担の急変動がなく、保険料の安定運営に寄与。</w:t>
            </w:r>
          </w:p>
        </w:tc>
      </w:tr>
    </w:tbl>
    <w:p>
      <w:pPr>
        <w:pBdr>
          <w:left w:val="single" w:color="2E75B6" w:sz="18" w:space="8"/>
        </w:pBdr>
        <w:spacing w:after="100" w:before="220"/>
      </w:pPr>
      <w:r>
        <w:rPr>
          <w:rFonts w:ascii="游ゴシック" w:cs="游ゴシック" w:eastAsia="游ゴシック" w:hAnsi="游ゴシック"/>
          <w:b/>
          <w:bCs/>
          <w:color w:val="1F3864"/>
          <w:sz w:val="23"/>
          <w:szCs w:val="23"/>
        </w:rPr>
        <w:t xml:space="preserve"> (3) 要因分析の総括</w:t>
      </w:r>
    </w:p>
    <w:p>
      <w:pPr>
        <w:spacing w:after="120" w:line="300"/>
        <w:jc w:val="both"/>
      </w:pPr>
      <w:r>
        <w:rPr>
          <w:rFonts w:ascii="游明朝" w:cs="游明朝" w:eastAsia="游明朝" w:hAnsi="游明朝"/>
          <w:b w:val="false"/>
          <w:bCs w:val="false"/>
          <w:color w:val="262626"/>
          <w:sz w:val="21"/>
          <w:szCs w:val="21"/>
        </w:rPr>
        <w:t xml:space="preserve">川崎町の保険料水準は、</w:t>
      </w:r>
      <w:r>
        <w:rPr>
          <w:rFonts w:ascii="游明朝" w:cs="游明朝" w:eastAsia="游明朝" w:hAnsi="游明朝"/>
          <w:b/>
          <w:bCs/>
          <w:color w:val="1F3864"/>
          <w:sz w:val="21"/>
          <w:szCs w:val="21"/>
        </w:rPr>
        <w:t xml:space="preserve">『高い給付費構造（施設・後期高齢者）が水準を押し上げる一方、保険者努力（予防・基金・収納）が上昇率を抑え込む』</w:t>
      </w:r>
      <w:r>
        <w:rPr>
          <w:rFonts w:ascii="游明朝" w:cs="游明朝" w:eastAsia="游明朝" w:hAnsi="游明朝"/>
          <w:b w:val="false"/>
          <w:bCs w:val="false"/>
          <w:color w:val="262626"/>
          <w:sz w:val="21"/>
          <w:szCs w:val="21"/>
        </w:rPr>
        <w:t xml:space="preserve">という二層構造で説明できます。県内上位という水準は高齢化度に見合った妥当なものであり、+1.9%という抑制的な上昇率は保険者努力の成果です。第10期では後期高齢者の更なる増加により給付費の上方圧力が継続するため、</w:t>
      </w:r>
      <w:r>
        <w:rPr>
          <w:rFonts w:ascii="游明朝" w:cs="游明朝" w:eastAsia="游明朝" w:hAnsi="游明朝"/>
          <w:b/>
          <w:bCs/>
          <w:color w:val="C55A11"/>
          <w:sz w:val="21"/>
          <w:szCs w:val="21"/>
        </w:rPr>
        <w:t xml:space="preserve">水準は引き続き県内上位で推移する蓋然性が高い</w:t>
      </w:r>
      <w:r>
        <w:rPr>
          <w:rFonts w:ascii="游明朝" w:cs="游明朝" w:eastAsia="游明朝" w:hAnsi="游明朝"/>
          <w:b w:val="false"/>
          <w:bCs w:val="false"/>
          <w:color w:val="262626"/>
          <w:sz w:val="21"/>
          <w:szCs w:val="21"/>
        </w:rPr>
        <w:t xml:space="preserve">一方、予防・基金活用による上昇抑制をどこまで継続できるかが論点となります。</w:t>
      </w:r>
    </w:p>
    <w:p>
      <w:r>
        <w:br w:type="page"/>
      </w:r>
    </w:p>
    <w:p>
      <w:pPr>
        <w:pBdr>
          <w:top w:val="single" w:color="1F3864" w:sz="2" w:space="6"/>
          <w:bottom w:val="single" w:color="1F3864" w:sz="2" w:space="6"/>
        </w:pBdr>
        <w:shd w:fill="1F3864" w:val="clear"/>
        <w:spacing w:after="160" w:before="320"/>
      </w:pPr>
      <w:r>
        <w:rPr>
          <w:rFonts w:ascii="游ゴシック" w:cs="游ゴシック" w:eastAsia="游ゴシック" w:hAnsi="游ゴシック"/>
          <w:b/>
          <w:bCs/>
          <w:color w:val="FFC000"/>
          <w:sz w:val="26"/>
          <w:szCs w:val="26"/>
        </w:rPr>
        <w:t xml:space="preserve">  6  </w:t>
      </w:r>
      <w:r>
        <w:rPr>
          <w:rFonts w:ascii="游ゴシック" w:cs="游ゴシック" w:eastAsia="游ゴシック" w:hAnsi="游ゴシック"/>
          <w:b/>
          <w:bCs/>
          <w:color w:val="FFFFFF"/>
          <w:sz w:val="26"/>
          <w:szCs w:val="26"/>
        </w:rPr>
        <w:t xml:space="preserve">施策の妥当性評価</w:t>
      </w:r>
    </w:p>
    <w:p>
      <w:pPr>
        <w:spacing w:after="120" w:line="300"/>
        <w:jc w:val="both"/>
      </w:pPr>
      <w:r>
        <w:rPr>
          <w:rFonts w:ascii="游明朝" w:cs="游明朝" w:eastAsia="游明朝" w:hAnsi="游明朝"/>
          <w:color w:val="262626"/>
          <w:sz w:val="21"/>
          <w:szCs w:val="21"/>
        </w:rPr>
        <w:t xml:space="preserve">上記の要因分析を踏まえ、第10期計画で検討中の保険料関連施策の妥当性を評価します。評価は◎（妥当・推奨）／○（妥当）／△（要検討）で示します。</w:t>
      </w:r>
    </w:p>
    <w:p>
      <w:pPr>
        <w:spacing w:after="40" w:before="60"/>
      </w:pPr>
      <w:r>
        <w:rPr>
          <w:rFonts w:ascii="游ゴシック" w:cs="游ゴシック" w:eastAsia="游ゴシック" w:hAnsi="游ゴシック"/>
          <w:b/>
          <w:bCs/>
          <w:color w:val="1F3864"/>
          <w:sz w:val="20"/>
          <w:szCs w:val="20"/>
        </w:rPr>
        <w:t xml:space="preserve">表6-1　保険料関連施策の妥当性評価</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00"/>
        <w:gridCol w:w="900"/>
        <w:gridCol w:w="3600"/>
        <w:gridCol w:w="3000"/>
      </w:tblGrid>
      <w:tr>
        <w:trPr>
          <w:tblHeader/>
        </w:trPr>
        <w:tc>
          <w:tcPr>
            <w:tcW w:type="dxa" w:w="2400"/>
            <w:tcBorders>
              <w:top w:val="single" w:color="808080" w:sz="4"/>
              <w:left w:val="single" w:color="808080" w:sz="4"/>
              <w:bottom w:val="single" w:color="808080" w:sz="4"/>
              <w:right w:val="single" w:color="808080" w:sz="4"/>
            </w:tcBorders>
            <w:shd w:fill="1F3864" w:val="clear"/>
            <w:tcMar>
              <w:top w:type="dxa" w:w="60"/>
              <w:left w:type="dxa" w:w="110"/>
              <w:bottom w:type="dxa" w:w="60"/>
              <w:right w:type="dxa" w:w="110"/>
            </w:tcMar>
            <w:vAlign w:val="center"/>
          </w:tcPr>
          <w:p>
            <w:pPr>
              <w:jc w:val="center"/>
            </w:pPr>
            <w:r>
              <w:rPr>
                <w:rFonts w:ascii="游ゴシック" w:cs="游ゴシック" w:eastAsia="游ゴシック" w:hAnsi="游ゴシック"/>
                <w:b/>
                <w:bCs/>
                <w:color w:val="FFFFFF"/>
                <w:sz w:val="19"/>
                <w:szCs w:val="19"/>
              </w:rPr>
              <w:t xml:space="preserve">施策</w:t>
            </w:r>
          </w:p>
        </w:tc>
        <w:tc>
          <w:tcPr>
            <w:tcW w:type="dxa" w:w="900"/>
            <w:tcBorders>
              <w:top w:val="single" w:color="808080" w:sz="4"/>
              <w:left w:val="single" w:color="808080" w:sz="4"/>
              <w:bottom w:val="single" w:color="808080" w:sz="4"/>
              <w:right w:val="single" w:color="808080" w:sz="4"/>
            </w:tcBorders>
            <w:shd w:fill="1F3864" w:val="clear"/>
            <w:tcMar>
              <w:top w:type="dxa" w:w="60"/>
              <w:left w:type="dxa" w:w="110"/>
              <w:bottom w:type="dxa" w:w="60"/>
              <w:right w:type="dxa" w:w="110"/>
            </w:tcMar>
            <w:vAlign w:val="center"/>
          </w:tcPr>
          <w:p>
            <w:pPr>
              <w:jc w:val="center"/>
            </w:pPr>
            <w:r>
              <w:rPr>
                <w:rFonts w:ascii="游ゴシック" w:cs="游ゴシック" w:eastAsia="游ゴシック" w:hAnsi="游ゴシック"/>
                <w:b/>
                <w:bCs/>
                <w:color w:val="FFFFFF"/>
                <w:sz w:val="19"/>
                <w:szCs w:val="19"/>
              </w:rPr>
              <w:t xml:space="preserve">評価</w:t>
            </w:r>
          </w:p>
        </w:tc>
        <w:tc>
          <w:tcPr>
            <w:tcW w:type="dxa" w:w="3600"/>
            <w:tcBorders>
              <w:top w:val="single" w:color="808080" w:sz="4"/>
              <w:left w:val="single" w:color="808080" w:sz="4"/>
              <w:bottom w:val="single" w:color="808080" w:sz="4"/>
              <w:right w:val="single" w:color="808080" w:sz="4"/>
            </w:tcBorders>
            <w:shd w:fill="1F3864" w:val="clear"/>
            <w:tcMar>
              <w:top w:type="dxa" w:w="60"/>
              <w:left w:type="dxa" w:w="110"/>
              <w:bottom w:type="dxa" w:w="60"/>
              <w:right w:type="dxa" w:w="110"/>
            </w:tcMar>
            <w:vAlign w:val="center"/>
          </w:tcPr>
          <w:p>
            <w:pPr>
              <w:jc w:val="center"/>
            </w:pPr>
            <w:r>
              <w:rPr>
                <w:rFonts w:ascii="游ゴシック" w:cs="游ゴシック" w:eastAsia="游ゴシック" w:hAnsi="游ゴシック"/>
                <w:b/>
                <w:bCs/>
                <w:color w:val="FFFFFF"/>
                <w:sz w:val="19"/>
                <w:szCs w:val="19"/>
              </w:rPr>
              <w:t xml:space="preserve">妥当性の根拠</w:t>
            </w:r>
          </w:p>
        </w:tc>
        <w:tc>
          <w:tcPr>
            <w:tcW w:type="dxa" w:w="3000"/>
            <w:tcBorders>
              <w:top w:val="single" w:color="808080" w:sz="4"/>
              <w:left w:val="single" w:color="808080" w:sz="4"/>
              <w:bottom w:val="single" w:color="808080" w:sz="4"/>
              <w:right w:val="single" w:color="808080" w:sz="4"/>
            </w:tcBorders>
            <w:shd w:fill="1F3864" w:val="clear"/>
            <w:tcMar>
              <w:top w:type="dxa" w:w="60"/>
              <w:left w:type="dxa" w:w="110"/>
              <w:bottom w:type="dxa" w:w="60"/>
              <w:right w:type="dxa" w:w="110"/>
            </w:tcMar>
            <w:vAlign w:val="center"/>
          </w:tcPr>
          <w:p>
            <w:pPr>
              <w:jc w:val="center"/>
            </w:pPr>
            <w:r>
              <w:rPr>
                <w:rFonts w:ascii="游ゴシック" w:cs="游ゴシック" w:eastAsia="游ゴシック" w:hAnsi="游ゴシック"/>
                <w:b/>
                <w:bCs/>
                <w:color w:val="FFFFFF"/>
                <w:sz w:val="19"/>
                <w:szCs w:val="19"/>
              </w:rPr>
              <w:t xml:space="preserve">留意点</w:t>
            </w:r>
          </w:p>
        </w:tc>
      </w:tr>
      <w:tr>
        <w:tc>
          <w:tcPr>
            <w:tcBorders>
              <w:top w:val="single" w:color="808080" w:sz="4"/>
              <w:left w:val="single" w:color="808080" w:sz="4"/>
              <w:bottom w:val="single" w:color="808080" w:sz="4"/>
              <w:right w:val="single" w:color="808080" w:sz="4"/>
            </w:tcBorders>
            <w:shd w:fill="DEEBF7" w:val="clear"/>
            <w:tcMar>
              <w:top w:type="dxa" w:w="60"/>
              <w:left w:type="dxa" w:w="110"/>
              <w:bottom w:type="dxa" w:w="60"/>
              <w:right w:type="dxa" w:w="110"/>
            </w:tcMar>
            <w:vAlign w:val="center"/>
          </w:tcPr>
          <w:p>
            <w:pPr>
              <w:jc w:val="left"/>
            </w:pPr>
            <w:r>
              <w:rPr>
                <w:rFonts w:ascii="游明朝" w:cs="游明朝" w:eastAsia="游明朝" w:hAnsi="游明朝"/>
                <w:b/>
                <w:bCs/>
                <w:color w:val="262626"/>
                <w:sz w:val="19"/>
                <w:szCs w:val="19"/>
              </w:rPr>
              <w:t xml:space="preserve">所得段階の13段階化</w:t>
            </w:r>
          </w:p>
        </w:tc>
        <w:tc>
          <w:tcPr>
            <w:tcBorders>
              <w:top w:val="single" w:color="808080" w:sz="4"/>
              <w:left w:val="single" w:color="808080" w:sz="4"/>
              <w:bottom w:val="single" w:color="808080" w:sz="4"/>
              <w:right w:val="single" w:color="808080" w:sz="4"/>
            </w:tcBorders>
            <w:shd w:fill="E2EFDA" w:val="clear"/>
            <w:tcMar>
              <w:top w:type="dxa" w:w="60"/>
              <w:left w:type="dxa" w:w="110"/>
              <w:bottom w:type="dxa" w:w="60"/>
              <w:right w:type="dxa" w:w="110"/>
            </w:tcMar>
            <w:vAlign w:val="center"/>
          </w:tcPr>
          <w:p>
            <w:pPr>
              <w:jc w:val="center"/>
            </w:pPr>
            <w:r>
              <w:rPr>
                <w:rFonts w:ascii="游明朝" w:cs="游明朝" w:eastAsia="游明朝" w:hAnsi="游明朝"/>
                <w:b/>
                <w:bCs/>
                <w:color w:val="C00000"/>
                <w:sz w:val="19"/>
                <w:szCs w:val="19"/>
              </w:rPr>
              <w:t xml:space="preserve">◎</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left"/>
            </w:pPr>
            <w:r>
              <w:rPr>
                <w:rFonts w:ascii="游明朝" w:cs="游明朝" w:eastAsia="游明朝" w:hAnsi="游明朝"/>
                <w:b w:val="false"/>
                <w:bCs w:val="false"/>
                <w:color w:val="262626"/>
                <w:sz w:val="21"/>
                <w:szCs w:val="21"/>
              </w:rPr>
              <w:t xml:space="preserve">非課税層979人（30.1%）の負担軽減と高所得層への応分負担。国の標準（9→13段階）に準拠。低所得層比率が高い本町と適合。</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left"/>
            </w:pPr>
            <w:r>
              <w:rPr>
                <w:rFonts w:ascii="游明朝" w:cs="游明朝" w:eastAsia="游明朝" w:hAnsi="游明朝"/>
                <w:b w:val="false"/>
                <w:bCs w:val="false"/>
                <w:color w:val="262626"/>
                <w:sz w:val="19"/>
                <w:szCs w:val="19"/>
              </w:rPr>
              <w:t xml:space="preserve">第10段階以上の該当人数の町確認が必要。境界所得は町条例で設定。</w:t>
            </w:r>
          </w:p>
        </w:tc>
      </w:tr>
      <w:tr>
        <w:tc>
          <w:tcPr>
            <w:tcBorders>
              <w:top w:val="single" w:color="808080" w:sz="4"/>
              <w:left w:val="single" w:color="808080" w:sz="4"/>
              <w:bottom w:val="single" w:color="808080" w:sz="4"/>
              <w:right w:val="single" w:color="808080" w:sz="4"/>
            </w:tcBorders>
            <w:shd w:fill="DEEBF7" w:val="clear"/>
            <w:tcMar>
              <w:top w:type="dxa" w:w="60"/>
              <w:left w:type="dxa" w:w="110"/>
              <w:bottom w:type="dxa" w:w="60"/>
              <w:right w:type="dxa" w:w="110"/>
            </w:tcMar>
            <w:vAlign w:val="center"/>
          </w:tcPr>
          <w:p>
            <w:pPr>
              <w:jc w:val="left"/>
            </w:pPr>
            <w:r>
              <w:rPr>
                <w:rFonts w:ascii="游明朝" w:cs="游明朝" w:eastAsia="游明朝" w:hAnsi="游明朝"/>
                <w:b/>
                <w:bCs/>
                <w:color w:val="262626"/>
                <w:sz w:val="19"/>
                <w:szCs w:val="19"/>
              </w:rPr>
              <w:t xml:space="preserve">基金活用（3パターン）</w:t>
            </w:r>
          </w:p>
        </w:tc>
        <w:tc>
          <w:tcPr>
            <w:tcBorders>
              <w:top w:val="single" w:color="808080" w:sz="4"/>
              <w:left w:val="single" w:color="808080" w:sz="4"/>
              <w:bottom w:val="single" w:color="808080" w:sz="4"/>
              <w:right w:val="single" w:color="808080" w:sz="4"/>
            </w:tcBorders>
            <w:shd w:fill="E2EFDA" w:val="clear"/>
            <w:tcMar>
              <w:top w:type="dxa" w:w="60"/>
              <w:left w:type="dxa" w:w="110"/>
              <w:bottom w:type="dxa" w:w="60"/>
              <w:right w:type="dxa" w:w="110"/>
            </w:tcMar>
            <w:vAlign w:val="center"/>
          </w:tcPr>
          <w:p>
            <w:pPr>
              <w:jc w:val="center"/>
            </w:pPr>
            <w:r>
              <w:rPr>
                <w:rFonts w:ascii="游明朝" w:cs="游明朝" w:eastAsia="游明朝" w:hAnsi="游明朝"/>
                <w:b/>
                <w:bCs/>
                <w:color w:val="C00000"/>
                <w:sz w:val="19"/>
                <w:szCs w:val="19"/>
              </w:rPr>
              <w:t xml:space="preserve">◎</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left"/>
            </w:pPr>
            <w:r>
              <w:rPr>
                <w:rFonts w:ascii="游明朝" w:cs="游明朝" w:eastAsia="游明朝" w:hAnsi="游明朝"/>
                <w:b w:val="false"/>
                <w:bCs w:val="false"/>
                <w:color w:val="262626"/>
                <w:sz w:val="21"/>
                <w:szCs w:val="21"/>
              </w:rPr>
              <w:t xml:space="preserve">基金取崩額を変数に3パターン（取崩なし／50%／全額）を提示し委員会協議に委ねる手法は、</w:t>
            </w:r>
            <w:r>
              <w:rPr>
                <w:rFonts w:ascii="游明朝" w:cs="游明朝" w:eastAsia="游明朝" w:hAnsi="游明朝"/>
                <w:b/>
                <w:bCs/>
                <w:color w:val="262626"/>
                <w:sz w:val="21"/>
                <w:szCs w:val="21"/>
              </w:rPr>
              <w:t xml:space="preserve">断定を避け透明性を確保</w:t>
            </w:r>
            <w:r>
              <w:rPr>
                <w:rFonts w:ascii="游明朝" w:cs="游明朝" w:eastAsia="游明朝" w:hAnsi="游明朝"/>
                <w:b w:val="false"/>
                <w:bCs w:val="false"/>
                <w:color w:val="262626"/>
                <w:sz w:val="21"/>
                <w:szCs w:val="21"/>
              </w:rPr>
              <w:t xml:space="preserve">。国はパターンB（50%）を標準水準として例示。</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left"/>
            </w:pPr>
            <w:r>
              <w:rPr>
                <w:rFonts w:ascii="游明朝" w:cs="游明朝" w:eastAsia="游明朝" w:hAnsi="游明朝"/>
                <w:b w:val="false"/>
                <w:bCs w:val="false"/>
                <w:color w:val="262626"/>
                <w:sz w:val="19"/>
                <w:szCs w:val="19"/>
              </w:rPr>
              <w:t xml:space="preserve">全額取崩は第11期負担を増大させるため、第11期影響とのトレードオフを明示。</w:t>
            </w:r>
          </w:p>
        </w:tc>
      </w:tr>
      <w:tr>
        <w:tc>
          <w:tcPr>
            <w:tcBorders>
              <w:top w:val="single" w:color="808080" w:sz="4"/>
              <w:left w:val="single" w:color="808080" w:sz="4"/>
              <w:bottom w:val="single" w:color="808080" w:sz="4"/>
              <w:right w:val="single" w:color="808080" w:sz="4"/>
            </w:tcBorders>
            <w:shd w:fill="DEEBF7" w:val="clear"/>
            <w:tcMar>
              <w:top w:type="dxa" w:w="60"/>
              <w:left w:type="dxa" w:w="110"/>
              <w:bottom w:type="dxa" w:w="60"/>
              <w:right w:type="dxa" w:w="110"/>
            </w:tcMar>
            <w:vAlign w:val="center"/>
          </w:tcPr>
          <w:p>
            <w:pPr>
              <w:jc w:val="left"/>
            </w:pPr>
            <w:r>
              <w:rPr>
                <w:rFonts w:ascii="游明朝" w:cs="游明朝" w:eastAsia="游明朝" w:hAnsi="游明朝"/>
                <w:b/>
                <w:bCs/>
                <w:color w:val="262626"/>
                <w:sz w:val="19"/>
                <w:szCs w:val="19"/>
              </w:rPr>
              <w:t xml:space="preserve">介護予防の継続強化</w:t>
            </w:r>
          </w:p>
        </w:tc>
        <w:tc>
          <w:tcPr>
            <w:tcBorders>
              <w:top w:val="single" w:color="808080" w:sz="4"/>
              <w:left w:val="single" w:color="808080" w:sz="4"/>
              <w:bottom w:val="single" w:color="808080" w:sz="4"/>
              <w:right w:val="single" w:color="808080" w:sz="4"/>
            </w:tcBorders>
            <w:shd w:fill="E2EFDA" w:val="clear"/>
            <w:tcMar>
              <w:top w:type="dxa" w:w="60"/>
              <w:left w:type="dxa" w:w="110"/>
              <w:bottom w:type="dxa" w:w="60"/>
              <w:right w:type="dxa" w:w="110"/>
            </w:tcMar>
            <w:vAlign w:val="center"/>
          </w:tcPr>
          <w:p>
            <w:pPr>
              <w:jc w:val="center"/>
            </w:pPr>
            <w:r>
              <w:rPr>
                <w:rFonts w:ascii="游明朝" w:cs="游明朝" w:eastAsia="游明朝" w:hAnsi="游明朝"/>
                <w:b/>
                <w:bCs/>
                <w:color w:val="C00000"/>
                <w:sz w:val="19"/>
                <w:szCs w:val="19"/>
              </w:rPr>
              <w:t xml:space="preserve">◎</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left"/>
            </w:pPr>
            <w:r>
              <w:rPr>
                <w:rFonts w:ascii="游明朝" w:cs="游明朝" w:eastAsia="游明朝" w:hAnsi="游明朝"/>
                <w:b w:val="false"/>
                <w:bCs w:val="false"/>
                <w:color w:val="262626"/>
                <w:sz w:val="21"/>
                <w:szCs w:val="21"/>
              </w:rPr>
              <w:t xml:space="preserve">認定率の抑制は給付費抑制の</w:t>
            </w:r>
            <w:r>
              <w:rPr>
                <w:rFonts w:ascii="游明朝" w:cs="游明朝" w:eastAsia="游明朝" w:hAnsi="游明朝"/>
                <w:b/>
                <w:bCs/>
                <w:color w:val="1F3864"/>
                <w:sz w:val="21"/>
                <w:szCs w:val="21"/>
              </w:rPr>
              <w:t xml:space="preserve">最も持続可能な手段</w:t>
            </w:r>
            <w:r>
              <w:rPr>
                <w:rFonts w:ascii="游明朝" w:cs="游明朝" w:eastAsia="游明朝" w:hAnsi="游明朝"/>
                <w:b w:val="false"/>
                <w:bCs w:val="false"/>
                <w:color w:val="262626"/>
                <w:sz w:val="21"/>
                <w:szCs w:val="21"/>
              </w:rPr>
              <w:t xml:space="preserve">。基金取崩と異なり次期負担を増やさない。本町のサポーター制度は既に実績あり。</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left"/>
            </w:pPr>
            <w:r>
              <w:rPr>
                <w:rFonts w:ascii="游明朝" w:cs="游明朝" w:eastAsia="游明朝" w:hAnsi="游明朝"/>
                <w:b w:val="false"/>
                <w:bCs w:val="false"/>
                <w:color w:val="262626"/>
                <w:sz w:val="19"/>
                <w:szCs w:val="19"/>
              </w:rPr>
              <w:t xml:space="preserve">効果の定量把握（KPI）が課題。第5章成果指標との連動を。</w:t>
            </w:r>
          </w:p>
        </w:tc>
      </w:tr>
      <w:tr>
        <w:tc>
          <w:tcPr>
            <w:tcBorders>
              <w:top w:val="single" w:color="808080" w:sz="4"/>
              <w:left w:val="single" w:color="808080" w:sz="4"/>
              <w:bottom w:val="single" w:color="808080" w:sz="4"/>
              <w:right w:val="single" w:color="808080" w:sz="4"/>
            </w:tcBorders>
            <w:shd w:fill="DEEBF7" w:val="clear"/>
            <w:tcMar>
              <w:top w:type="dxa" w:w="60"/>
              <w:left w:type="dxa" w:w="110"/>
              <w:bottom w:type="dxa" w:w="60"/>
              <w:right w:type="dxa" w:w="110"/>
            </w:tcMar>
            <w:vAlign w:val="center"/>
          </w:tcPr>
          <w:p>
            <w:pPr>
              <w:jc w:val="left"/>
            </w:pPr>
            <w:r>
              <w:rPr>
                <w:rFonts w:ascii="游明朝" w:cs="游明朝" w:eastAsia="游明朝" w:hAnsi="游明朝"/>
                <w:b/>
                <w:bCs/>
                <w:color w:val="262626"/>
                <w:sz w:val="19"/>
                <w:szCs w:val="19"/>
              </w:rPr>
              <w:t xml:space="preserve">広域連携・住所地特例対応</w:t>
            </w:r>
          </w:p>
        </w:tc>
        <w:tc>
          <w:tcPr>
            <w:tcBorders>
              <w:top w:val="single" w:color="808080" w:sz="4"/>
              <w:left w:val="single" w:color="808080" w:sz="4"/>
              <w:bottom w:val="single" w:color="808080" w:sz="4"/>
              <w:right w:val="single" w:color="808080" w:sz="4"/>
            </w:tcBorders>
            <w:shd w:fill="E2EFDA" w:val="clear"/>
            <w:tcMar>
              <w:top w:type="dxa" w:w="60"/>
              <w:left w:type="dxa" w:w="110"/>
              <w:bottom w:type="dxa" w:w="60"/>
              <w:right w:type="dxa" w:w="110"/>
            </w:tcMar>
            <w:vAlign w:val="center"/>
          </w:tcPr>
          <w:p>
            <w:pPr>
              <w:jc w:val="center"/>
            </w:pPr>
            <w:r>
              <w:rPr>
                <w:rFonts w:ascii="游明朝" w:cs="游明朝" w:eastAsia="游明朝" w:hAnsi="游明朝"/>
                <w:b/>
                <w:bCs/>
                <w:color w:val="548235"/>
                <w:sz w:val="19"/>
                <w:szCs w:val="19"/>
              </w:rPr>
              <w:t xml:space="preserve">○</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left"/>
            </w:pPr>
            <w:r>
              <w:rPr>
                <w:rFonts w:ascii="游明朝" w:cs="游明朝" w:eastAsia="游明朝" w:hAnsi="游明朝"/>
                <w:b w:val="false"/>
                <w:bCs w:val="false"/>
                <w:color w:val="262626"/>
                <w:sz w:val="21"/>
                <w:szCs w:val="21"/>
              </w:rPr>
              <w:t xml:space="preserve">町外施設給付（住所地特例24人）の動向把握と仙南圏域での施設配置調整。給付費の予見性を高める。</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left"/>
            </w:pPr>
            <w:r>
              <w:rPr>
                <w:rFonts w:ascii="游明朝" w:cs="游明朝" w:eastAsia="游明朝" w:hAnsi="游明朝"/>
                <w:b w:val="false"/>
                <w:bCs w:val="false"/>
                <w:color w:val="262626"/>
                <w:sz w:val="19"/>
                <w:szCs w:val="19"/>
              </w:rPr>
              <w:t xml:space="preserve">町単独で制御困難な要素。圏域・県との調整が前提。</w:t>
            </w:r>
          </w:p>
        </w:tc>
      </w:tr>
      <w:tr>
        <w:tc>
          <w:tcPr>
            <w:tcBorders>
              <w:top w:val="single" w:color="808080" w:sz="4"/>
              <w:left w:val="single" w:color="808080" w:sz="4"/>
              <w:bottom w:val="single" w:color="808080" w:sz="4"/>
              <w:right w:val="single" w:color="808080" w:sz="4"/>
            </w:tcBorders>
            <w:shd w:fill="DEEBF7" w:val="clear"/>
            <w:tcMar>
              <w:top w:type="dxa" w:w="60"/>
              <w:left w:type="dxa" w:w="110"/>
              <w:bottom w:type="dxa" w:w="60"/>
              <w:right w:type="dxa" w:w="110"/>
            </w:tcMar>
            <w:vAlign w:val="center"/>
          </w:tcPr>
          <w:p>
            <w:pPr>
              <w:jc w:val="left"/>
            </w:pPr>
            <w:r>
              <w:rPr>
                <w:rFonts w:ascii="游明朝" w:cs="游明朝" w:eastAsia="游明朝" w:hAnsi="游明朝"/>
                <w:b/>
                <w:bCs/>
                <w:color w:val="262626"/>
                <w:sz w:val="19"/>
                <w:szCs w:val="19"/>
              </w:rPr>
              <w:t xml:space="preserve">収納率の維持</w:t>
            </w:r>
          </w:p>
        </w:tc>
        <w:tc>
          <w:tcPr>
            <w:tcBorders>
              <w:top w:val="single" w:color="808080" w:sz="4"/>
              <w:left w:val="single" w:color="808080" w:sz="4"/>
              <w:bottom w:val="single" w:color="808080" w:sz="4"/>
              <w:right w:val="single" w:color="808080" w:sz="4"/>
            </w:tcBorders>
            <w:shd w:fill="E2EFDA" w:val="clear"/>
            <w:tcMar>
              <w:top w:type="dxa" w:w="60"/>
              <w:left w:type="dxa" w:w="110"/>
              <w:bottom w:type="dxa" w:w="60"/>
              <w:right w:type="dxa" w:w="110"/>
            </w:tcMar>
            <w:vAlign w:val="center"/>
          </w:tcPr>
          <w:p>
            <w:pPr>
              <w:jc w:val="center"/>
            </w:pPr>
            <w:r>
              <w:rPr>
                <w:rFonts w:ascii="游明朝" w:cs="游明朝" w:eastAsia="游明朝" w:hAnsi="游明朝"/>
                <w:b/>
                <w:bCs/>
                <w:color w:val="548235"/>
                <w:sz w:val="19"/>
                <w:szCs w:val="19"/>
              </w:rPr>
              <w:t xml:space="preserve">○</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left"/>
            </w:pPr>
            <w:r>
              <w:rPr>
                <w:rFonts w:ascii="游明朝" w:cs="游明朝" w:eastAsia="游明朝" w:hAnsi="游明朝"/>
                <w:b w:val="false"/>
                <w:bCs w:val="false"/>
                <w:color w:val="262626"/>
                <w:sz w:val="21"/>
                <w:szCs w:val="21"/>
              </w:rPr>
              <w:t xml:space="preserve">96.3%の高収納率の維持により、予定収納率を高く設定でき、未収上乗せ分を圧縮。</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left"/>
            </w:pPr>
            <w:r>
              <w:rPr>
                <w:rFonts w:ascii="游明朝" w:cs="游明朝" w:eastAsia="游明朝" w:hAnsi="游明朝"/>
                <w:b w:val="false"/>
                <w:bCs w:val="false"/>
                <w:color w:val="262626"/>
                <w:sz w:val="19"/>
                <w:szCs w:val="19"/>
              </w:rPr>
              <w:t xml:space="preserve">普通徴収現年度分87.3%の改善余地。過去5年平均の確定が必要。</w:t>
            </w:r>
          </w:p>
        </w:tc>
      </w:tr>
    </w:tbl>
    <w:p>
      <w:pPr>
        <w:pBdr>
          <w:top w:val="single" w:color="E2EFDA" w:sz="2" w:space="4"/>
          <w:left w:val="single" w:color="548235" w:sz="18" w:space="10"/>
          <w:bottom w:val="single" w:color="E2EFDA" w:sz="2" w:space="4"/>
        </w:pBdr>
        <w:shd w:fill="E2EFDA" w:val="clear"/>
        <w:spacing w:after="140" w:before="80"/>
      </w:pPr>
      <w:r>
        <w:rPr>
          <w:rFonts w:ascii="游ゴシック" w:cs="游ゴシック" w:eastAsia="游ゴシック" w:hAnsi="游ゴシック"/>
          <w:b/>
          <w:bCs/>
          <w:color w:val="1F3864"/>
          <w:sz w:val="21"/>
          <w:szCs w:val="21"/>
        </w:rPr>
        <w:t xml:space="preserve">● 保険料関連施策は総じて妥当。特に『介護予防の継続強化』は次期負担を増やさず水準上昇を抑える最善手であり、計画の重点として位置づける意義が大きい。</w:t>
      </w:r>
    </w:p>
    <w:p>
      <w:r>
        <w:br w:type="page"/>
      </w:r>
    </w:p>
    <w:p>
      <w:pPr>
        <w:pBdr>
          <w:top w:val="single" w:color="1F3864" w:sz="2" w:space="6"/>
          <w:bottom w:val="single" w:color="1F3864" w:sz="2" w:space="6"/>
        </w:pBdr>
        <w:shd w:fill="1F3864" w:val="clear"/>
        <w:spacing w:after="160" w:before="320"/>
      </w:pPr>
      <w:r>
        <w:rPr>
          <w:rFonts w:ascii="游ゴシック" w:cs="游ゴシック" w:eastAsia="游ゴシック" w:hAnsi="游ゴシック"/>
          <w:b/>
          <w:bCs/>
          <w:color w:val="FFC000"/>
          <w:sz w:val="26"/>
          <w:szCs w:val="26"/>
        </w:rPr>
        <w:t xml:space="preserve">  7  </w:t>
      </w:r>
      <w:r>
        <w:rPr>
          <w:rFonts w:ascii="游ゴシック" w:cs="游ゴシック" w:eastAsia="游ゴシック" w:hAnsi="游ゴシック"/>
          <w:b/>
          <w:bCs/>
          <w:color w:val="FFFFFF"/>
          <w:sz w:val="26"/>
          <w:szCs w:val="26"/>
        </w:rPr>
        <w:t xml:space="preserve">第10期への含意と委員会説明方針</w:t>
      </w:r>
    </w:p>
    <w:p>
      <w:pPr>
        <w:pBdr>
          <w:left w:val="single" w:color="2E75B6" w:sz="18" w:space="8"/>
        </w:pBdr>
        <w:spacing w:after="100" w:before="220"/>
      </w:pPr>
      <w:r>
        <w:rPr>
          <w:rFonts w:ascii="游ゴシック" w:cs="游ゴシック" w:eastAsia="游ゴシック" w:hAnsi="游ゴシック"/>
          <w:b/>
          <w:bCs/>
          <w:color w:val="1F3864"/>
          <w:sz w:val="23"/>
          <w:szCs w:val="23"/>
        </w:rPr>
        <w:t xml:space="preserve"> 第10期試算への含意</w:t>
      </w:r>
    </w:p>
    <w:p>
      <w:pPr>
        <w:spacing w:after="120" w:line="300"/>
        <w:jc w:val="both"/>
      </w:pPr>
      <w:r>
        <w:rPr>
          <w:rFonts w:ascii="游明朝" w:cs="游明朝" w:eastAsia="游明朝" w:hAnsi="游明朝"/>
          <w:b w:val="false"/>
          <w:bCs w:val="false"/>
          <w:color w:val="262626"/>
          <w:sz w:val="21"/>
          <w:szCs w:val="21"/>
        </w:rPr>
        <w:t xml:space="preserve">後期高齢者の増加（+10.9%）と施設給付比率の高さから、第10期の給付費は上方圧力が継続し、</w:t>
      </w:r>
      <w:r>
        <w:rPr>
          <w:rFonts w:ascii="游明朝" w:cs="游明朝" w:eastAsia="游明朝" w:hAnsi="游明朝"/>
          <w:b/>
          <w:bCs/>
          <w:color w:val="C55A11"/>
          <w:sz w:val="21"/>
          <w:szCs w:val="21"/>
        </w:rPr>
        <w:t xml:space="preserve">保険料水準は引き続き県内上位で推移する蓋然性が高い</w:t>
      </w:r>
      <w:r>
        <w:rPr>
          <w:rFonts w:ascii="游明朝" w:cs="游明朝" w:eastAsia="游明朝" w:hAnsi="游明朝"/>
          <w:b w:val="false"/>
          <w:bCs w:val="false"/>
          <w:color w:val="262626"/>
          <w:sz w:val="21"/>
          <w:szCs w:val="21"/>
        </w:rPr>
        <w:t xml:space="preserve">と見込まれます。3パターン試算（A:取崩なし／B:50%／C:全額）のいずれを選ぶかにより月額は変動しますが、いずれのパターンでも県平均（6,098円）を上回る水準が現実的な前提となります。基金残高（R8.6確定）の入手後、本レポートの構造分析を踏まえて具体額を算定します。</w:t>
      </w:r>
    </w:p>
    <w:p>
      <w:pPr>
        <w:pBdr>
          <w:left w:val="single" w:color="2E75B6" w:sz="18" w:space="8"/>
        </w:pBdr>
        <w:spacing w:after="100" w:before="220"/>
      </w:pPr>
      <w:r>
        <w:rPr>
          <w:rFonts w:ascii="游ゴシック" w:cs="游ゴシック" w:eastAsia="游ゴシック" w:hAnsi="游ゴシック"/>
          <w:b/>
          <w:bCs/>
          <w:color w:val="1F3864"/>
          <w:sz w:val="23"/>
          <w:szCs w:val="23"/>
        </w:rPr>
        <w:t xml:space="preserve"> 委員会での説明方針（断定回避の原則）</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700"/>
        <w:gridCol w:w="4500"/>
        <w:gridCol w:w="3700"/>
      </w:tblGrid>
      <w:tr>
        <w:trPr>
          <w:tblHeader/>
        </w:trPr>
        <w:tc>
          <w:tcPr>
            <w:tcW w:type="dxa" w:w="700"/>
            <w:tcBorders>
              <w:top w:val="single" w:color="808080" w:sz="4"/>
              <w:left w:val="single" w:color="808080" w:sz="4"/>
              <w:bottom w:val="single" w:color="808080" w:sz="4"/>
              <w:right w:val="single" w:color="808080" w:sz="4"/>
            </w:tcBorders>
            <w:shd w:fill="1F3864" w:val="clear"/>
            <w:tcMar>
              <w:top w:type="dxa" w:w="60"/>
              <w:left w:type="dxa" w:w="110"/>
              <w:bottom w:type="dxa" w:w="60"/>
              <w:right w:type="dxa" w:w="110"/>
            </w:tcMar>
            <w:vAlign w:val="center"/>
          </w:tcPr>
          <w:p>
            <w:pPr>
              <w:jc w:val="center"/>
            </w:pPr>
            <w:r>
              <w:rPr>
                <w:rFonts w:ascii="游ゴシック" w:cs="游ゴシック" w:eastAsia="游ゴシック" w:hAnsi="游ゴシック"/>
                <w:b/>
                <w:bCs/>
                <w:color w:val="FFFFFF"/>
                <w:sz w:val="19"/>
                <w:szCs w:val="19"/>
              </w:rPr>
              <w:t xml:space="preserve"/>
            </w:r>
          </w:p>
        </w:tc>
        <w:tc>
          <w:tcPr>
            <w:tcW w:type="dxa" w:w="4500"/>
            <w:tcBorders>
              <w:top w:val="single" w:color="808080" w:sz="4"/>
              <w:left w:val="single" w:color="808080" w:sz="4"/>
              <w:bottom w:val="single" w:color="808080" w:sz="4"/>
              <w:right w:val="single" w:color="808080" w:sz="4"/>
            </w:tcBorders>
            <w:shd w:fill="1F3864" w:val="clear"/>
            <w:tcMar>
              <w:top w:type="dxa" w:w="60"/>
              <w:left w:type="dxa" w:w="110"/>
              <w:bottom w:type="dxa" w:w="60"/>
              <w:right w:type="dxa" w:w="110"/>
            </w:tcMar>
            <w:vAlign w:val="center"/>
          </w:tcPr>
          <w:p>
            <w:pPr>
              <w:jc w:val="center"/>
            </w:pPr>
            <w:r>
              <w:rPr>
                <w:rFonts w:ascii="游ゴシック" w:cs="游ゴシック" w:eastAsia="游ゴシック" w:hAnsi="游ゴシック"/>
                <w:b/>
                <w:bCs/>
                <w:color w:val="FFFFFF"/>
                <w:sz w:val="19"/>
                <w:szCs w:val="19"/>
              </w:rPr>
              <w:t xml:space="preserve">説明の原則</w:t>
            </w:r>
          </w:p>
        </w:tc>
        <w:tc>
          <w:tcPr>
            <w:tcW w:type="dxa" w:w="3700"/>
            <w:tcBorders>
              <w:top w:val="single" w:color="808080" w:sz="4"/>
              <w:left w:val="single" w:color="808080" w:sz="4"/>
              <w:bottom w:val="single" w:color="808080" w:sz="4"/>
              <w:right w:val="single" w:color="808080" w:sz="4"/>
            </w:tcBorders>
            <w:shd w:fill="1F3864" w:val="clear"/>
            <w:tcMar>
              <w:top w:type="dxa" w:w="60"/>
              <w:left w:type="dxa" w:w="110"/>
              <w:bottom w:type="dxa" w:w="60"/>
              <w:right w:type="dxa" w:w="110"/>
            </w:tcMar>
            <w:vAlign w:val="center"/>
          </w:tcPr>
          <w:p>
            <w:pPr>
              <w:jc w:val="center"/>
            </w:pPr>
            <w:r>
              <w:rPr>
                <w:rFonts w:ascii="游ゴシック" w:cs="游ゴシック" w:eastAsia="游ゴシック" w:hAnsi="游ゴシック"/>
                <w:b/>
                <w:bCs/>
                <w:color w:val="FFFFFF"/>
                <w:sz w:val="19"/>
                <w:szCs w:val="19"/>
              </w:rPr>
              <w:t xml:space="preserve">具体的な言い回し（推奨）</w:t>
            </w:r>
          </w:p>
        </w:tc>
      </w:tr>
      <w:tr>
        <w:tc>
          <w:tcPr>
            <w:tcBorders>
              <w:top w:val="single" w:color="808080" w:sz="4"/>
              <w:left w:val="single" w:color="808080" w:sz="4"/>
              <w:bottom w:val="single" w:color="808080" w:sz="4"/>
              <w:right w:val="single" w:color="808080" w:sz="4"/>
            </w:tcBorders>
            <w:shd w:fill="F2F2F2" w:val="clear"/>
            <w:tcMar>
              <w:top w:type="dxa" w:w="60"/>
              <w:left w:type="dxa" w:w="110"/>
              <w:bottom w:type="dxa" w:w="60"/>
              <w:right w:type="dxa" w:w="110"/>
            </w:tcMar>
            <w:vAlign w:val="center"/>
          </w:tcPr>
          <w:p>
            <w:pPr>
              <w:jc w:val="center"/>
            </w:pPr>
            <w:r>
              <w:rPr>
                <w:rFonts w:ascii="游明朝" w:cs="游明朝" w:eastAsia="游明朝" w:hAnsi="游明朝"/>
                <w:b/>
                <w:bCs/>
                <w:color w:val="262626"/>
                <w:sz w:val="19"/>
                <w:szCs w:val="19"/>
              </w:rPr>
              <w:t xml:space="preserve">①</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left"/>
            </w:pPr>
            <w:r>
              <w:rPr>
                <w:rFonts w:ascii="游明朝" w:cs="游明朝" w:eastAsia="游明朝" w:hAnsi="游明朝"/>
                <w:b/>
                <w:bCs/>
                <w:color w:val="262626"/>
                <w:sz w:val="21"/>
                <w:szCs w:val="21"/>
              </w:rPr>
              <w:t xml:space="preserve">水準と上昇率を区別する</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left"/>
            </w:pPr>
            <w:r>
              <w:rPr>
                <w:rFonts w:ascii="游明朝" w:cs="游明朝" w:eastAsia="游明朝" w:hAnsi="游明朝"/>
                <w:b w:val="false"/>
                <w:bCs w:val="false"/>
                <w:color w:val="262626"/>
                <w:sz w:val="19"/>
                <w:szCs w:val="19"/>
              </w:rPr>
              <w:t xml:space="preserve">「額は県内上位ですが、伸びは県・全国より抑えてきました」</w:t>
            </w:r>
          </w:p>
        </w:tc>
      </w:tr>
      <w:tr>
        <w:tc>
          <w:tcPr>
            <w:tcBorders>
              <w:top w:val="single" w:color="808080" w:sz="4"/>
              <w:left w:val="single" w:color="808080" w:sz="4"/>
              <w:bottom w:val="single" w:color="808080" w:sz="4"/>
              <w:right w:val="single" w:color="808080" w:sz="4"/>
            </w:tcBorders>
            <w:shd w:fill="F2F2F2" w:val="clear"/>
            <w:tcMar>
              <w:top w:type="dxa" w:w="60"/>
              <w:left w:type="dxa" w:w="110"/>
              <w:bottom w:type="dxa" w:w="60"/>
              <w:right w:type="dxa" w:w="110"/>
            </w:tcMar>
            <w:vAlign w:val="center"/>
          </w:tcPr>
          <w:p>
            <w:pPr>
              <w:jc w:val="center"/>
            </w:pPr>
            <w:r>
              <w:rPr>
                <w:rFonts w:ascii="游明朝" w:cs="游明朝" w:eastAsia="游明朝" w:hAnsi="游明朝"/>
                <w:b/>
                <w:bCs/>
                <w:color w:val="262626"/>
                <w:sz w:val="19"/>
                <w:szCs w:val="19"/>
              </w:rPr>
              <w:t xml:space="preserve">②</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left"/>
            </w:pPr>
            <w:r>
              <w:rPr>
                <w:rFonts w:ascii="游明朝" w:cs="游明朝" w:eastAsia="游明朝" w:hAnsi="游明朝"/>
                <w:b/>
                <w:bCs/>
                <w:color w:val="262626"/>
                <w:sz w:val="21"/>
                <w:szCs w:val="21"/>
              </w:rPr>
              <w:t xml:space="preserve">水準の高さを構造的に説明する（妥当性）</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left"/>
            </w:pPr>
            <w:r>
              <w:rPr>
                <w:rFonts w:ascii="游明朝" w:cs="游明朝" w:eastAsia="游明朝" w:hAnsi="游明朝"/>
                <w:b w:val="false"/>
                <w:bCs w:val="false"/>
                <w:color w:val="262626"/>
                <w:sz w:val="19"/>
                <w:szCs w:val="19"/>
              </w:rPr>
              <w:t xml:space="preserve">「高齢化率が県内5位で施設利用が多い構造上、給付費が大きく、保険料も相応に高くなります」</w:t>
            </w:r>
          </w:p>
        </w:tc>
      </w:tr>
      <w:tr>
        <w:tc>
          <w:tcPr>
            <w:tcBorders>
              <w:top w:val="single" w:color="808080" w:sz="4"/>
              <w:left w:val="single" w:color="808080" w:sz="4"/>
              <w:bottom w:val="single" w:color="808080" w:sz="4"/>
              <w:right w:val="single" w:color="808080" w:sz="4"/>
            </w:tcBorders>
            <w:shd w:fill="F2F2F2" w:val="clear"/>
            <w:tcMar>
              <w:top w:type="dxa" w:w="60"/>
              <w:left w:type="dxa" w:w="110"/>
              <w:bottom w:type="dxa" w:w="60"/>
              <w:right w:type="dxa" w:w="110"/>
            </w:tcMar>
            <w:vAlign w:val="center"/>
          </w:tcPr>
          <w:p>
            <w:pPr>
              <w:jc w:val="center"/>
            </w:pPr>
            <w:r>
              <w:rPr>
                <w:rFonts w:ascii="游明朝" w:cs="游明朝" w:eastAsia="游明朝" w:hAnsi="游明朝"/>
                <w:b/>
                <w:bCs/>
                <w:color w:val="262626"/>
                <w:sz w:val="19"/>
                <w:szCs w:val="19"/>
              </w:rPr>
              <w:t xml:space="preserve">③</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left"/>
            </w:pPr>
            <w:r>
              <w:rPr>
                <w:rFonts w:ascii="游明朝" w:cs="游明朝" w:eastAsia="游明朝" w:hAnsi="游明朝"/>
                <w:b/>
                <w:bCs/>
                <w:color w:val="C00000"/>
                <w:sz w:val="21"/>
                <w:szCs w:val="21"/>
              </w:rPr>
              <w:t xml:space="preserve">『県内最低・県平均水準』と断定しない</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left"/>
            </w:pPr>
            <w:r>
              <w:rPr>
                <w:rFonts w:ascii="游明朝" w:cs="游明朝" w:eastAsia="游明朝" w:hAnsi="游明朝"/>
                <w:b w:val="false"/>
                <w:bCs w:val="false"/>
                <w:color w:val="262626"/>
                <w:sz w:val="19"/>
                <w:szCs w:val="19"/>
              </w:rPr>
              <w:t xml:space="preserve">将来推計・他団体の改定で覆るリスク。「高齢化度に見合った水準」と表現</w:t>
            </w:r>
          </w:p>
        </w:tc>
      </w:tr>
      <w:tr>
        <w:tc>
          <w:tcPr>
            <w:tcBorders>
              <w:top w:val="single" w:color="808080" w:sz="4"/>
              <w:left w:val="single" w:color="808080" w:sz="4"/>
              <w:bottom w:val="single" w:color="808080" w:sz="4"/>
              <w:right w:val="single" w:color="808080" w:sz="4"/>
            </w:tcBorders>
            <w:shd w:fill="F2F2F2" w:val="clear"/>
            <w:tcMar>
              <w:top w:type="dxa" w:w="60"/>
              <w:left w:type="dxa" w:w="110"/>
              <w:bottom w:type="dxa" w:w="60"/>
              <w:right w:type="dxa" w:w="110"/>
            </w:tcMar>
            <w:vAlign w:val="center"/>
          </w:tcPr>
          <w:p>
            <w:pPr>
              <w:jc w:val="center"/>
            </w:pPr>
            <w:r>
              <w:rPr>
                <w:rFonts w:ascii="游明朝" w:cs="游明朝" w:eastAsia="游明朝" w:hAnsi="游明朝"/>
                <w:b/>
                <w:bCs/>
                <w:color w:val="262626"/>
                <w:sz w:val="19"/>
                <w:szCs w:val="19"/>
              </w:rPr>
              <w:t xml:space="preserve">④</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left"/>
            </w:pPr>
            <w:r>
              <w:rPr>
                <w:rFonts w:ascii="游明朝" w:cs="游明朝" w:eastAsia="游明朝" w:hAnsi="游明朝"/>
                <w:b/>
                <w:bCs/>
                <w:color w:val="262626"/>
                <w:sz w:val="21"/>
                <w:szCs w:val="21"/>
              </w:rPr>
              <w:t xml:space="preserve">抑制の努力を示す</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left"/>
            </w:pPr>
            <w:r>
              <w:rPr>
                <w:rFonts w:ascii="游明朝" w:cs="游明朝" w:eastAsia="游明朝" w:hAnsi="游明朝"/>
                <w:b w:val="false"/>
                <w:bCs w:val="false"/>
                <w:color w:val="262626"/>
                <w:sz w:val="19"/>
                <w:szCs w:val="19"/>
              </w:rPr>
              <w:t xml:space="preserve">「介護予防・基金活用・高い収納率で上昇を抑えてきました」</w:t>
            </w:r>
          </w:p>
        </w:tc>
      </w:tr>
      <w:tr>
        <w:tc>
          <w:tcPr>
            <w:tcBorders>
              <w:top w:val="single" w:color="808080" w:sz="4"/>
              <w:left w:val="single" w:color="808080" w:sz="4"/>
              <w:bottom w:val="single" w:color="808080" w:sz="4"/>
              <w:right w:val="single" w:color="808080" w:sz="4"/>
            </w:tcBorders>
            <w:shd w:fill="F2F2F2" w:val="clear"/>
            <w:tcMar>
              <w:top w:type="dxa" w:w="60"/>
              <w:left w:type="dxa" w:w="110"/>
              <w:bottom w:type="dxa" w:w="60"/>
              <w:right w:type="dxa" w:w="110"/>
            </w:tcMar>
            <w:vAlign w:val="center"/>
          </w:tcPr>
          <w:p>
            <w:pPr>
              <w:jc w:val="center"/>
            </w:pPr>
            <w:r>
              <w:rPr>
                <w:rFonts w:ascii="游明朝" w:cs="游明朝" w:eastAsia="游明朝" w:hAnsi="游明朝"/>
                <w:b/>
                <w:bCs/>
                <w:color w:val="262626"/>
                <w:sz w:val="19"/>
                <w:szCs w:val="19"/>
              </w:rPr>
              <w:t xml:space="preserve">⑤</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left"/>
            </w:pPr>
            <w:r>
              <w:rPr>
                <w:rFonts w:ascii="游明朝" w:cs="游明朝" w:eastAsia="游明朝" w:hAnsi="游明朝"/>
                <w:b/>
                <w:bCs/>
                <w:color w:val="262626"/>
                <w:sz w:val="21"/>
                <w:szCs w:val="21"/>
              </w:rPr>
              <w:t xml:space="preserve">第11期トレードオフを明示する</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left"/>
            </w:pPr>
            <w:r>
              <w:rPr>
                <w:rFonts w:ascii="游明朝" w:cs="游明朝" w:eastAsia="游明朝" w:hAnsi="游明朝"/>
                <w:b w:val="false"/>
                <w:bCs w:val="false"/>
                <w:color w:val="262626"/>
                <w:sz w:val="19"/>
                <w:szCs w:val="19"/>
              </w:rPr>
              <w:t xml:space="preserve">「今、基金を全部使うと次の改定（第11期）の上げ幅が大きくなります」</w:t>
            </w:r>
          </w:p>
        </w:tc>
      </w:tr>
    </w:tbl>
    <w:p>
      <w:pPr>
        <w:pBdr>
          <w:left w:val="single" w:color="2E75B6" w:sz="18" w:space="8"/>
        </w:pBdr>
        <w:spacing w:after="100" w:before="220"/>
      </w:pPr>
      <w:r>
        <w:rPr>
          <w:rFonts w:ascii="游ゴシック" w:cs="游ゴシック" w:eastAsia="游ゴシック" w:hAnsi="游ゴシック"/>
          <w:b/>
          <w:bCs/>
          <w:color w:val="1F3864"/>
          <w:sz w:val="23"/>
          <w:szCs w:val="23"/>
        </w:rPr>
        <w:t xml:space="preserve"> 本レポートの計画書・成果物への反映先</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3200"/>
        <w:gridCol w:w="5700"/>
      </w:tblGrid>
      <w:tr>
        <w:trPr>
          <w:tblHeader/>
        </w:trPr>
        <w:tc>
          <w:tcPr>
            <w:tcW w:type="dxa" w:w="3200"/>
            <w:tcBorders>
              <w:top w:val="single" w:color="808080" w:sz="4"/>
              <w:left w:val="single" w:color="808080" w:sz="4"/>
              <w:bottom w:val="single" w:color="808080" w:sz="4"/>
              <w:right w:val="single" w:color="808080" w:sz="4"/>
            </w:tcBorders>
            <w:shd w:fill="1F3864" w:val="clear"/>
            <w:tcMar>
              <w:top w:type="dxa" w:w="60"/>
              <w:left w:type="dxa" w:w="110"/>
              <w:bottom w:type="dxa" w:w="60"/>
              <w:right w:type="dxa" w:w="110"/>
            </w:tcMar>
            <w:vAlign w:val="center"/>
          </w:tcPr>
          <w:p>
            <w:pPr>
              <w:jc w:val="center"/>
            </w:pPr>
            <w:r>
              <w:rPr>
                <w:rFonts w:ascii="游ゴシック" w:cs="游ゴシック" w:eastAsia="游ゴシック" w:hAnsi="游ゴシック"/>
                <w:b/>
                <w:bCs/>
                <w:color w:val="FFFFFF"/>
                <w:sz w:val="19"/>
                <w:szCs w:val="19"/>
              </w:rPr>
              <w:t xml:space="preserve">反映先</w:t>
            </w:r>
          </w:p>
        </w:tc>
        <w:tc>
          <w:tcPr>
            <w:tcW w:type="dxa" w:w="5700"/>
            <w:tcBorders>
              <w:top w:val="single" w:color="808080" w:sz="4"/>
              <w:left w:val="single" w:color="808080" w:sz="4"/>
              <w:bottom w:val="single" w:color="808080" w:sz="4"/>
              <w:right w:val="single" w:color="808080" w:sz="4"/>
            </w:tcBorders>
            <w:shd w:fill="1F3864" w:val="clear"/>
            <w:tcMar>
              <w:top w:type="dxa" w:w="60"/>
              <w:left w:type="dxa" w:w="110"/>
              <w:bottom w:type="dxa" w:w="60"/>
              <w:right w:type="dxa" w:w="110"/>
            </w:tcMar>
            <w:vAlign w:val="center"/>
          </w:tcPr>
          <w:p>
            <w:pPr>
              <w:jc w:val="center"/>
            </w:pPr>
            <w:r>
              <w:rPr>
                <w:rFonts w:ascii="游ゴシック" w:cs="游ゴシック" w:eastAsia="游ゴシック" w:hAnsi="游ゴシック"/>
                <w:b/>
                <w:bCs/>
                <w:color w:val="FFFFFF"/>
                <w:sz w:val="19"/>
                <w:szCs w:val="19"/>
              </w:rPr>
              <w:t xml:space="preserve">反映内容</w:t>
            </w:r>
          </w:p>
        </w:tc>
      </w:tr>
      <w:tr>
        <w:tc>
          <w:tcPr>
            <w:tcBorders>
              <w:top w:val="single" w:color="808080" w:sz="4"/>
              <w:left w:val="single" w:color="808080" w:sz="4"/>
              <w:bottom w:val="single" w:color="808080" w:sz="4"/>
              <w:right w:val="single" w:color="808080" w:sz="4"/>
            </w:tcBorders>
            <w:shd w:fill="DEEBF7" w:val="clear"/>
            <w:tcMar>
              <w:top w:type="dxa" w:w="60"/>
              <w:left w:type="dxa" w:w="110"/>
              <w:bottom w:type="dxa" w:w="60"/>
              <w:right w:type="dxa" w:w="110"/>
            </w:tcMar>
            <w:vAlign w:val="center"/>
          </w:tcPr>
          <w:p>
            <w:pPr>
              <w:jc w:val="left"/>
            </w:pPr>
            <w:r>
              <w:rPr>
                <w:rFonts w:ascii="游明朝" w:cs="游明朝" w:eastAsia="游明朝" w:hAnsi="游明朝"/>
                <w:b/>
                <w:bCs/>
                <w:color w:val="262626"/>
                <w:sz w:val="19"/>
                <w:szCs w:val="19"/>
              </w:rPr>
              <w:t xml:space="preserve">計画書 第7章 7-3</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left"/>
            </w:pPr>
            <w:r>
              <w:rPr>
                <w:rFonts w:ascii="游明朝" w:cs="游明朝" w:eastAsia="游明朝" w:hAnsi="游明朝"/>
                <w:b w:val="false"/>
                <w:bCs w:val="false"/>
                <w:color w:val="262626"/>
                <w:sz w:val="19"/>
                <w:szCs w:val="19"/>
              </w:rPr>
              <w:t xml:space="preserve">近隣比較表に実数を反映／「水準」表現の修正（表4-1の修正提案①②）</w:t>
            </w:r>
          </w:p>
        </w:tc>
      </w:tr>
      <w:tr>
        <w:tc>
          <w:tcPr>
            <w:tcBorders>
              <w:top w:val="single" w:color="808080" w:sz="4"/>
              <w:left w:val="single" w:color="808080" w:sz="4"/>
              <w:bottom w:val="single" w:color="808080" w:sz="4"/>
              <w:right w:val="single" w:color="808080" w:sz="4"/>
            </w:tcBorders>
            <w:shd w:fill="DEEBF7" w:val="clear"/>
            <w:tcMar>
              <w:top w:type="dxa" w:w="60"/>
              <w:left w:type="dxa" w:w="110"/>
              <w:bottom w:type="dxa" w:w="60"/>
              <w:right w:type="dxa" w:w="110"/>
            </w:tcMar>
            <w:vAlign w:val="center"/>
          </w:tcPr>
          <w:p>
            <w:pPr>
              <w:jc w:val="left"/>
            </w:pPr>
            <w:r>
              <w:rPr>
                <w:rFonts w:ascii="游明朝" w:cs="游明朝" w:eastAsia="游明朝" w:hAnsi="游明朝"/>
                <w:b/>
                <w:bCs/>
                <w:color w:val="262626"/>
                <w:sz w:val="19"/>
                <w:szCs w:val="19"/>
              </w:rPr>
              <w:t xml:space="preserve">保険料試算ワークブック 09_比較分析</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left"/>
            </w:pPr>
            <w:r>
              <w:rPr>
                <w:rFonts w:ascii="游明朝" w:cs="游明朝" w:eastAsia="游明朝" w:hAnsi="游明朝"/>
                <w:b w:val="false"/>
                <w:bCs w:val="false"/>
                <w:color w:val="262626"/>
                <w:sz w:val="19"/>
                <w:szCs w:val="19"/>
              </w:rPr>
              <w:t xml:space="preserve">仙南各町・県平均の[入力]枠に実数を反映（本レポートと併せて更新済）</w:t>
            </w:r>
          </w:p>
        </w:tc>
      </w:tr>
      <w:tr>
        <w:tc>
          <w:tcPr>
            <w:tcBorders>
              <w:top w:val="single" w:color="808080" w:sz="4"/>
              <w:left w:val="single" w:color="808080" w:sz="4"/>
              <w:bottom w:val="single" w:color="808080" w:sz="4"/>
              <w:right w:val="single" w:color="808080" w:sz="4"/>
            </w:tcBorders>
            <w:shd w:fill="DEEBF7" w:val="clear"/>
            <w:tcMar>
              <w:top w:type="dxa" w:w="60"/>
              <w:left w:type="dxa" w:w="110"/>
              <w:bottom w:type="dxa" w:w="60"/>
              <w:right w:type="dxa" w:w="110"/>
            </w:tcMar>
            <w:vAlign w:val="center"/>
          </w:tcPr>
          <w:p>
            <w:pPr>
              <w:jc w:val="left"/>
            </w:pPr>
            <w:r>
              <w:rPr>
                <w:rFonts w:ascii="游明朝" w:cs="游明朝" w:eastAsia="游明朝" w:hAnsi="游明朝"/>
                <w:b/>
                <w:bCs/>
                <w:color w:val="262626"/>
                <w:sz w:val="19"/>
                <w:szCs w:val="19"/>
              </w:rPr>
              <w:t xml:space="preserve">第1回〜第3回委員会 想定問答</w:t>
            </w:r>
          </w:p>
        </w:tc>
        <w:tc>
          <w:tcPr>
            <w:tcBorders>
              <w:top w:val="single" w:color="808080" w:sz="4"/>
              <w:left w:val="single" w:color="808080" w:sz="4"/>
              <w:bottom w:val="single" w:color="808080" w:sz="4"/>
              <w:right w:val="single" w:color="808080" w:sz="4"/>
            </w:tcBorders>
            <w:tcMar>
              <w:top w:type="dxa" w:w="60"/>
              <w:left w:type="dxa" w:w="110"/>
              <w:bottom w:type="dxa" w:w="60"/>
              <w:right w:type="dxa" w:w="110"/>
            </w:tcMar>
            <w:vAlign w:val="center"/>
          </w:tcPr>
          <w:p>
            <w:pPr>
              <w:jc w:val="left"/>
            </w:pPr>
            <w:r>
              <w:rPr>
                <w:rFonts w:ascii="游明朝" w:cs="游明朝" w:eastAsia="游明朝" w:hAnsi="游明朝"/>
                <w:b w:val="false"/>
                <w:bCs w:val="false"/>
                <w:color w:val="262626"/>
                <w:sz w:val="19"/>
                <w:szCs w:val="19"/>
              </w:rPr>
              <w:t xml:space="preserve">「県内で高いのでは」「なぜ全額取崩しないのか」への回答に本分析を活用</w:t>
            </w:r>
          </w:p>
        </w:tc>
      </w:tr>
    </w:tbl>
    <w:p>
      <w:pPr>
        <w:pBdr>
          <w:top w:val="single" w:color="2E75B6" w:sz="6" w:space="6"/>
        </w:pBdr>
        <w:spacing w:before="300"/>
      </w:pPr>
      <w:r>
        <w:rPr>
          <w:rFonts w:ascii="游明朝" w:cs="游明朝" w:eastAsia="游明朝" w:hAnsi="游明朝"/>
          <w:i/>
          <w:iCs/>
          <w:color w:val="808080"/>
          <w:sz w:val="18"/>
          <w:szCs w:val="18"/>
        </w:rPr>
        <w:t xml:space="preserve">以上。具体的な保険料月額は、介護給付費準備基金残高（R8.6確定）・サービス見込量・国通知を踏まえ、Ver.2.0／第3回策定委員会で確定します。</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明朝" w:cs="游明朝" w:eastAsia="游明朝" w:hAnsi="游明朝"/>
        <w:color w:val="808080"/>
        <w:sz w:val="16"/>
        <w:szCs w:val="16"/>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DD7EE" w:sz="4" w:space="4"/>
      </w:pBdr>
      <w:jc w:val="right"/>
    </w:pPr>
    <w:r>
      <w:rPr>
        <w:rFonts w:ascii="游ゴシック" w:cs="游ゴシック" w:eastAsia="游ゴシック" w:hAnsi="游ゴシック"/>
        <w:color w:val="808080"/>
        <w:sz w:val="15"/>
        <w:szCs w:val="15"/>
      </w:rPr>
      <w:t xml:space="preserve">川崎町 介護保険料 県内比較・要因分析レポート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2026-06-29T08:52:00.122Z</dcterms:created>
  <dcterms:modified xsi:type="dcterms:W3CDTF">2026-06-29T08:52:00.122Z</dcterms:modified>
</cp:coreProperties>
</file>

<file path=docProps/custom.xml><?xml version="1.0" encoding="utf-8"?>
<Properties xmlns="http://schemas.openxmlformats.org/officeDocument/2006/custom-properties" xmlns:vt="http://schemas.openxmlformats.org/officeDocument/2006/docPropsVTypes"/>
</file>