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川崎町高齢者保健福祉計画・第10期介護保険事業計画</w:t>
      </w:r>
    </w:p>
    <w:p>
      <w:pPr>
        <w:pBdr>
          <w:top w:val="single" w:color="1F3864" w:sz="2" w:space="8"/>
          <w:bottom w:val="single" w:color="1F3864" w:sz="2" w:space="8"/>
        </w:pBdr>
        <w:shd w:fill="1F3864" w:val="clear"/>
        <w:spacing w:after="40"/>
        <w:jc w:val="center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第2回 介護保険運営委員会　説明資料</w:t>
      </w:r>
    </w:p>
    <w:p>
      <w:pPr>
        <w:spacing w:after="20" w:before="100"/>
        <w:jc w:val="center"/>
      </w:pPr>
      <w:r>
        <w:rPr>
          <w:rFonts w:ascii="游明朝" w:cs="游明朝" w:eastAsia="游明朝" w:hAnsi="游明朝"/>
          <w:i/>
          <w:iCs/>
          <w:color w:val="2E75B6"/>
          <w:sz w:val="20"/>
          <w:szCs w:val="20"/>
        </w:rPr>
        <w:t xml:space="preserve">〜 介護サービス見込量・介護給付費・保険料の見通し 〜</w:t>
      </w:r>
    </w:p>
    <w:p>
      <w:pPr>
        <w:spacing w:before="120"/>
        <w:jc w:val="center"/>
      </w:pPr>
      <w:r>
        <w:rPr>
          <w:rFonts w:ascii="游明朝" w:cs="游明朝" w:eastAsia="游明朝" w:hAnsi="游明朝"/>
          <w:color w:val="808080"/>
          <w:sz w:val="18"/>
          <w:szCs w:val="18"/>
        </w:rPr>
        <w:t xml:space="preserve">令和8年11月　川崎町（保健福祉課）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50" w:before="26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 会議次第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1. </w:t>
      </w:r>
      <w:r>
        <w:rPr>
          <w:rFonts w:ascii="游明朝" w:cs="游明朝" w:eastAsia="游明朝" w:hAnsi="游明朝"/>
          <w:sz w:val="21"/>
          <w:szCs w:val="21"/>
        </w:rPr>
        <w:t xml:space="preserve">開会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2. </w:t>
      </w:r>
      <w:r>
        <w:rPr>
          <w:rFonts w:ascii="游明朝" w:cs="游明朝" w:eastAsia="游明朝" w:hAnsi="游明朝"/>
          <w:sz w:val="21"/>
          <w:szCs w:val="21"/>
        </w:rPr>
        <w:t xml:space="preserve">第1回介護保険運営委員会の確認（アンケート結果・基本理念・第9期評価）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3. </w:t>
      </w:r>
      <w:r>
        <w:rPr>
          <w:rFonts w:ascii="游明朝" w:cs="游明朝" w:eastAsia="游明朝" w:hAnsi="游明朝"/>
          <w:sz w:val="21"/>
          <w:szCs w:val="21"/>
        </w:rPr>
        <w:t xml:space="preserve">【報告事項】計画素案の骨子（第2章〜第4章）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4. </w:t>
      </w:r>
      <w:r>
        <w:rPr>
          <w:rFonts w:ascii="游明朝" w:cs="游明朝" w:eastAsia="游明朝" w:hAnsi="游明朝"/>
          <w:sz w:val="21"/>
          <w:szCs w:val="21"/>
        </w:rPr>
        <w:t xml:space="preserve">【協議事項1】介護サービス見込量の推計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5. </w:t>
      </w:r>
      <w:r>
        <w:rPr>
          <w:rFonts w:ascii="游明朝" w:cs="游明朝" w:eastAsia="游明朝" w:hAnsi="游明朝"/>
          <w:sz w:val="21"/>
          <w:szCs w:val="21"/>
        </w:rPr>
        <w:t xml:space="preserve">【協議事項2】介護給付費の推計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6. </w:t>
      </w:r>
      <w:r>
        <w:rPr>
          <w:rFonts w:ascii="游明朝" w:cs="游明朝" w:eastAsia="游明朝" w:hAnsi="游明朝"/>
          <w:sz w:val="21"/>
          <w:szCs w:val="21"/>
        </w:rPr>
        <w:t xml:space="preserve">【協議事項3】介護保険料の見通し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7. </w:t>
      </w:r>
      <w:r>
        <w:rPr>
          <w:rFonts w:ascii="游明朝" w:cs="游明朝" w:eastAsia="游明朝" w:hAnsi="游明朝"/>
          <w:sz w:val="21"/>
          <w:szCs w:val="21"/>
        </w:rPr>
        <w:t xml:space="preserve">今後のスケジュール</w:t>
      </w:r>
    </w:p>
    <w:p>
      <w:pPr>
        <w:spacing w:after="70"/>
        <w:ind w:left="20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8. </w:t>
      </w:r>
      <w:r>
        <w:rPr>
          <w:rFonts w:ascii="游明朝" w:cs="游明朝" w:eastAsia="游明朝" w:hAnsi="游明朝"/>
          <w:sz w:val="21"/>
          <w:szCs w:val="21"/>
        </w:rPr>
        <w:t xml:space="preserve">閉会</w:t>
      </w:r>
    </w:p>
    <w:p>
      <w:pPr>
        <w:spacing w:after="120"/>
      </w:pPr>
      <w:r>
        <w:rPr>
          <w:rFonts w:ascii="游明朝" w:cs="游明朝" w:eastAsia="游明朝" w:hAnsi="游明朝"/>
          <w:i/>
          <w:iCs/>
          <w:color w:val="808080"/>
          <w:sz w:val="17"/>
          <w:szCs w:val="17"/>
        </w:rPr>
        <w:t xml:space="preserve">※ 本資料は委員の皆様にお配りする説明資料です。数値の一部は町提供データ・国通知（夏以降）・準備基金残高（令和8年6月確定）の反映を経て、Ver.2.0で確定します。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50" w:before="26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 1　第1回委員会の確認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color w:val="262626"/>
          <w:sz w:val="21"/>
          <w:szCs w:val="21"/>
        </w:rPr>
        <w:t xml:space="preserve">第1回委員会（令和8年8月）では、アンケート調査結果、計画の基本理念・基本目標、第9期計画の評価をご報告・ご審議いただきました。第2回では、これらを踏まえた介護サービス見込量・給付費・保険料の見通しをご協議いただきます。</w:t>
      </w:r>
    </w:p>
    <w:p>
      <w:pPr>
        <w:spacing w:after="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第1回の主な確認事項と第2回への接続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第1回の事項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第2回での扱い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アンケート結果（一般高齢者・認定者）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サービス見込量の利用意向・潜在ニーズの補正に反映（協議事項1）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基本理念・基本目標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確定した理念・目標に沿って施策体系を整理（報告事項）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第9期計画の評価（KPI達成状況）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第10期の課題として給付費・保険料の見通しに反映（協議事項2・3）</w:t>
            </w:r>
          </w:p>
        </w:tc>
      </w:tr>
    </w:tbl>
    <w:p>
      <w:pPr>
        <w:pBdr>
          <w:top w:val="single" w:color="BF9000" w:sz="4" w:space="4"/>
          <w:bottom w:val="single" w:color="BF9000" w:sz="4" w:space="4"/>
        </w:pBdr>
        <w:shd w:fill="FFF2CC" w:val="clear"/>
        <w:spacing w:after="120" w:before="60"/>
      </w:pPr>
      <w:r>
        <w:rPr>
          <w:rFonts w:ascii="游ゴシック" w:cs="游ゴシック" w:eastAsia="游ゴシック" w:hAnsi="游ゴシック"/>
          <w:b/>
          <w:bCs/>
          <w:color w:val="7F6000"/>
          <w:sz w:val="18"/>
          <w:szCs w:val="18"/>
        </w:rPr>
        <w:t xml:space="preserve">⚠ </w:t>
      </w:r>
      <w:r>
        <w:rPr>
          <w:rFonts w:ascii="游明朝" w:cs="游明朝" w:eastAsia="游明朝" w:hAnsi="游明朝"/>
          <w:color w:val="7F6000"/>
          <w:sz w:val="18"/>
          <w:szCs w:val="18"/>
        </w:rPr>
        <w:t xml:space="preserve">第1回でいただいたご意見への対応は、別途「委員意見反映管理シート」で整理し、次期素案（Ver.2.0）に反映します。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50" w:before="26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 2　【報告事項】計画素案の骨子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color w:val="262626"/>
          <w:sz w:val="21"/>
          <w:szCs w:val="21"/>
        </w:rPr>
        <w:t xml:space="preserve">第10期計画（令和9〜11年度）は、認知症基本法への対応を独立章として位置づけるなど、以下の構成で編成します。</w:t>
      </w:r>
    </w:p>
    <w:p>
      <w:pPr>
        <w:spacing w:after="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計画素案の構成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章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主な内容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本日の関連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第2章 現状分析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人口・高齢化率・認定者・給付費の現状と将来推計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E75B6"/>
                <w:sz w:val="18"/>
                <w:szCs w:val="18"/>
              </w:rPr>
              <w:t xml:space="preserve">協議1・2の前提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第3章 第9期評価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第9期計画の取組実績とKPI達成状況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報告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第4章 施策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5つの基本目標に沿った施策（介護予防・在宅支援・サービス基盤ほか）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報告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第5章 認知症施策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認知症基本法に基づく施策（独立章）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報告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第6章 サービス見込量・保険料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サービス見込量・給付費・保険料の算定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協議1・2・3</w:t>
            </w:r>
          </w:p>
        </w:tc>
      </w:tr>
    </w:tbl>
    <w:p>
      <w:pPr>
        <w:pBdr>
          <w:top w:val="single" w:color="BDD7EE" w:sz="2" w:space="4"/>
          <w:left w:val="single" w:color="2E75B6" w:sz="18" w:space="10"/>
          <w:bottom w:val="single" w:color="BDD7EE" w:sz="2" w:space="4"/>
        </w:pBdr>
        <w:shd w:fill="BDD7EE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本日は第6章の内容（サービス見込量・給付費・保険料）を中心にご協議いただきます。</w:t>
      </w:r>
    </w:p>
    <w:p>
      <w:pPr>
        <w:shd w:fill="C55A11" w:val="clear"/>
        <w:spacing w:after="150" w:before="28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協議事項1    介護サービス見込量の推計</w:t>
      </w:r>
    </w:p>
    <w:p>
      <w:pPr>
        <w:pBdr>
          <w:left w:val="single" w:color="2E75B6" w:sz="18" w:space="8"/>
        </w:pBdr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(1) 見込量の算定ロジック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サービス見込量は、</w:t>
      </w:r>
      <w:r>
        <w:rPr>
          <w:rFonts w:ascii="游明朝" w:cs="游明朝" w:eastAsia="游明朝" w:hAnsi="游明朝"/>
          <w:b/>
          <w:bCs/>
          <w:i w:val="false"/>
          <w:iCs w:val="false"/>
          <w:color w:val="1F3864"/>
          <w:sz w:val="21"/>
          <w:szCs w:val="21"/>
        </w:rPr>
        <w:t xml:space="preserve">将来人口 × 認定率 × 利用率 × 1人当たり利用量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を基本式に、次の6ステップで年度別・サービス種類別に算定します。アンケートの利用意向・潜在ニーズで補正します。</w:t>
      </w:r>
    </w:p>
    <w:p>
      <w:pPr>
        <w:spacing w:after="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見込量算定の6ステップ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データ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1-2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将来人口・認定者数の推計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社人研推計・認定実績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3-4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サービス利用率・1人当たり利用量の算定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国保連データ・給付実績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年度別・サービス種類別見込量の算定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上記の積算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アンケートによる潜在ニーズ・利用意向の補正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一般高齢者・認定者調査</w:t>
            </w:r>
          </w:p>
        </w:tc>
      </w:tr>
    </w:tbl>
    <w:p>
      <w:pPr>
        <w:pBdr>
          <w:left w:val="single" w:color="2E75B6" w:sz="18" w:space="8"/>
        </w:pBdr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(2) 川崎町のサービス構造の特徴</w:t>
      </w:r>
    </w:p>
    <w:p>
      <w:pPr>
        <w:spacing w:after="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サービス別給付費の構成（第9期）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サービス区分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給付費割合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居宅サービス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約38%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在宅生活支援の中心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地域密着型サービス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約16%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グループホーム等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施設サービス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約46%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受給者は約29%だが給付費の半分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住宅改修・福祉用具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約0.3%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top w:val="single" w:color="BDD7EE" w:sz="2" w:space="4"/>
          <w:left w:val="single" w:color="2E75B6" w:sz="18" w:space="10"/>
          <w:bottom w:val="single" w:color="BDD7EE" w:sz="2" w:space="4"/>
        </w:pBdr>
        <w:shd w:fill="BDD7EE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施設サービスは受給者数では約29%（134人）ですが、1人当たり単価が高いため給付費の約46%を占めます。施設サービスの見込みが給付費全体を大きく左右します。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川崎町は町内施設が縮小傾向にあり、</w:t>
      </w:r>
      <w:r>
        <w:rPr>
          <w:rFonts w:ascii="游明朝" w:cs="游明朝" w:eastAsia="游明朝" w:hAnsi="游明朝"/>
          <w:b/>
          <w:bCs/>
          <w:i w:val="false"/>
          <w:iCs w:val="false"/>
          <w:color w:val="1F3864"/>
          <w:sz w:val="21"/>
          <w:szCs w:val="21"/>
        </w:rPr>
        <w:t xml:space="preserve">住所地特例24人（令和7年6月時点）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が示すとおり、町外施設（柴田町・大河原町・仙台市等）の利用が相当数あります。見込量算定では、町内施設の定員のみで制約せず、町外施設利用を含めた「町民の施設サービス利用ニーズ」全体を見込みます。</w:t>
      </w:r>
    </w:p>
    <w:p>
      <w:pPr>
        <w:pBdr>
          <w:top w:val="single" w:color="FCE4D6" w:sz="2" w:space="4"/>
          <w:left w:val="single" w:color="C55A11" w:sz="22" w:space="10"/>
          <w:bottom w:val="single" w:color="FCE4D6" w:sz="2" w:space="4"/>
        </w:pBdr>
        <w:shd w:fill="FCE4D6" w:val="clear"/>
        <w:spacing w:after="140" w:before="100"/>
      </w:pPr>
      <w:r>
        <w:rPr>
          <w:rFonts w:ascii="游ゴシック" w:cs="游ゴシック" w:eastAsia="游ゴシック" w:hAnsi="游ゴシック"/>
          <w:b/>
          <w:bCs/>
          <w:color w:val="C55A11"/>
          <w:sz w:val="21"/>
          <w:szCs w:val="21"/>
        </w:rPr>
        <w:t xml:space="preserve">◆ ご協議いただきたい点：</w:t>
      </w: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施設サービスの見込量について、町外施設利用（住所地特例）を含めた算定方針でよろしいか。町外施設の受入余地・所在自治体の把握についてご意見をいただきたい。</w:t>
      </w:r>
    </w:p>
    <w:p>
      <w:pPr>
        <w:pBdr>
          <w:top w:val="single" w:color="BF9000" w:sz="4" w:space="4"/>
          <w:bottom w:val="single" w:color="BF9000" w:sz="4" w:space="4"/>
        </w:pBdr>
        <w:shd w:fill="FFF2CC" w:val="clear"/>
        <w:spacing w:after="120" w:before="60"/>
      </w:pPr>
      <w:r>
        <w:rPr>
          <w:rFonts w:ascii="游ゴシック" w:cs="游ゴシック" w:eastAsia="游ゴシック" w:hAnsi="游ゴシック"/>
          <w:b/>
          <w:bCs/>
          <w:color w:val="7F6000"/>
          <w:sz w:val="18"/>
          <w:szCs w:val="18"/>
        </w:rPr>
        <w:t xml:space="preserve">⚠ </w:t>
      </w:r>
      <w:r>
        <w:rPr>
          <w:rFonts w:ascii="游明朝" w:cs="游明朝" w:eastAsia="游明朝" w:hAnsi="游明朝"/>
          <w:color w:val="7F6000"/>
          <w:sz w:val="18"/>
          <w:szCs w:val="18"/>
        </w:rPr>
        <w:t xml:space="preserve">年度別・サービス種類別見込量の確定値は、町提供データ・国保連データ・アンケート結果・国通知の反映を経て、Ver.2.0で記載します。本日は算定方針をご協議いただきます。</w:t>
      </w:r>
    </w:p>
    <w:p>
      <w:pPr>
        <w:shd w:fill="C55A11" w:val="clear"/>
        <w:spacing w:after="150" w:before="28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協議事項2    介護給付費の推計</w:t>
      </w:r>
    </w:p>
    <w:p>
      <w:pPr>
        <w:pBdr>
          <w:left w:val="single" w:color="2E75B6" w:sz="18" w:space="8"/>
        </w:pBdr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(1) 人口・高齢者数の見通し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川崎町の65歳以上人口は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令和7年（2025年）頃がピーク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で、第10期計画期間は既に微減局面に入ります。一方、総人口はそれ以上に減少し、高齢化率は上昇を続けます。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DD7EE" w:sz="2" w:space="4"/>
          <w:left w:val="single" w:color="2E75B6" w:sz="18" w:space="10"/>
          <w:bottom w:val="single" w:color="BDD7EE" w:sz="2" w:space="4"/>
        </w:pBdr>
        <w:shd w:fill="BDD7EE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「高齢者が増え続ける」局面は終わりつつありますが、後期高齢化（75歳以上の割合上昇）と重度化により、認定者数は横ばい〜微増で、介護給付費は当面減りません。</w:t>
      </w:r>
    </w:p>
    <w:p>
      <w:pPr>
        <w:pBdr>
          <w:left w:val="single" w:color="2E75B6" w:sz="18" w:space="8"/>
        </w:pBdr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(2) 介護給付費の推計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介護給付費は、サービス見込量に単価・加算率を乗じて算定します（標準給付費見込額＝総給付額＋特定入所者・高額介護等）。第9期実績を基に、後期高齢化・重度化・介護報酬改定を見込むと、第10期の標準給付費は3年間で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第9期比+2.9%程度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の増加が見込まれます。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F9000" w:sz="4" w:space="4"/>
          <w:bottom w:val="single" w:color="BF9000" w:sz="4" w:space="4"/>
        </w:pBdr>
        <w:shd w:fill="FFF2CC" w:val="clear"/>
        <w:spacing w:after="120" w:before="60"/>
      </w:pPr>
      <w:r>
        <w:rPr>
          <w:rFonts w:ascii="游ゴシック" w:cs="游ゴシック" w:eastAsia="游ゴシック" w:hAnsi="游ゴシック"/>
          <w:b/>
          <w:bCs/>
          <w:color w:val="7F6000"/>
          <w:sz w:val="18"/>
          <w:szCs w:val="18"/>
        </w:rPr>
        <w:t xml:space="preserve">⚠ </w:t>
      </w:r>
      <w:r>
        <w:rPr>
          <w:rFonts w:ascii="游明朝" w:cs="游明朝" w:eastAsia="游明朝" w:hAnsi="游明朝"/>
          <w:color w:val="7F6000"/>
          <w:sz w:val="18"/>
          <w:szCs w:val="18"/>
        </w:rPr>
        <w:t xml:space="preserve">給付費の伸び率は前提を置いた推計です。確定値はサービス見込量（協議事項1）と令和9年度介護報酬改定を反映して算定します。</w:t>
      </w:r>
    </w:p>
    <w:p>
      <w:pPr>
        <w:shd w:fill="C55A11" w:val="clear"/>
        <w:spacing w:after="150" w:before="280"/>
      </w:pPr>
      <w:r>
        <w:rPr>
          <w:rFonts w:ascii="游ゴシック" w:cs="游ゴシック" w:eastAsia="游ゴシック" w:hAnsi="游ゴシック"/>
          <w:b/>
          <w:bCs/>
          <w:color w:val="FFFFFF"/>
          <w:sz w:val="24"/>
          <w:szCs w:val="24"/>
        </w:rPr>
        <w:t xml:space="preserve">  協議事項3    介護保険料の見通し</w:t>
      </w:r>
    </w:p>
    <w:p>
      <w:pPr>
        <w:pBdr>
          <w:left w:val="single" w:color="2E75B6" w:sz="18" w:space="8"/>
        </w:pBdr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(1) 第9期保険料の構造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第9期の保険料（基準額月額6,500円）は、</w:t>
      </w:r>
      <w:r>
        <w:rPr>
          <w:rFonts w:ascii="游明朝" w:cs="游明朝" w:eastAsia="游明朝" w:hAnsi="游明朝"/>
          <w:b/>
          <w:bCs/>
          <w:i w:val="false"/>
          <w:iCs w:val="false"/>
          <w:color w:val="1F3864"/>
          <w:sz w:val="21"/>
          <w:szCs w:val="21"/>
        </w:rPr>
        <w:t xml:space="preserve">介護給付費準備基金を約7,800万円取り崩す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ことで実現した水準です。取崩しをしなければ約7,300〜7,600円相当でした。第10期開始時点では基金が大きく減少（計画ベースで約5,400万円）するため、同じ抑制余地は小さくなります。</w:t>
      </w:r>
    </w:p>
    <w:p>
      <w:pPr>
        <w:pBdr>
          <w:left w:val="single" w:color="2E75B6" w:sz="18" w:space="8"/>
        </w:pBdr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(2) 第10期保険料の見通し（3パターン）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color w:val="262626"/>
          <w:sz w:val="21"/>
          <w:szCs w:val="21"/>
        </w:rPr>
        <w:t xml:space="preserve">給付費の増加と基金の減少を踏まえ、基金の取崩し方に応じた3パターンを試算しました。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第10期 保険料基準額の見通し（月額・試算）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パターン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基準額（月額）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考え方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（参考）第9期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6,500円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基金約7,800万円取崩で実現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00000"/>
                <w:sz w:val="18"/>
                <w:szCs w:val="18"/>
              </w:rPr>
              <w:t xml:space="preserve">A 取崩なし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0000"/>
                <w:sz w:val="18"/>
                <w:szCs w:val="18"/>
              </w:rPr>
              <w:t xml:space="preserve">約7,600円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基金を温存（次期の負担を緩和）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B 一部取崩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約7,400円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中位。基金の半分を活用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548235"/>
                <w:sz w:val="18"/>
                <w:szCs w:val="18"/>
              </w:rPr>
              <w:t xml:space="preserve">C 全額取崩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48235"/>
                <w:sz w:val="18"/>
                <w:szCs w:val="18"/>
              </w:rPr>
              <w:t xml:space="preserve">約7,100円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基金を活用し抑制（次期の負担増）</w:t>
            </w:r>
          </w:p>
        </w:tc>
      </w:tr>
    </w:tbl>
    <w:p>
      <w:pPr>
        <w:pBdr>
          <w:top w:val="single" w:color="FCE4D6" w:sz="2" w:space="4"/>
          <w:left w:val="single" w:color="C55A11" w:sz="18" w:space="10"/>
          <w:bottom w:val="single" w:color="FCE4D6" w:sz="2" w:space="4"/>
        </w:pBdr>
        <w:shd w:fill="FCE4D6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第9期6,500円を維持（据置）しようとすると基金が計画期間中に枯渇するため、財源的に維持は困難です。基金の枯渇が保険料上昇の最大の要因です。</w:t>
      </w:r>
    </w:p>
    <w:p>
      <w:pPr>
        <w:pBdr>
          <w:top w:val="single" w:color="FCE4D6" w:sz="2" w:space="4"/>
          <w:left w:val="single" w:color="C55A11" w:sz="22" w:space="10"/>
          <w:bottom w:val="single" w:color="FCE4D6" w:sz="2" w:space="4"/>
        </w:pBdr>
        <w:shd w:fill="FCE4D6" w:val="clear"/>
        <w:spacing w:after="140" w:before="100"/>
      </w:pPr>
      <w:r>
        <w:rPr>
          <w:rFonts w:ascii="游ゴシック" w:cs="游ゴシック" w:eastAsia="游ゴシック" w:hAnsi="游ゴシック"/>
          <w:b/>
          <w:bCs/>
          <w:color w:val="C55A11"/>
          <w:sz w:val="21"/>
          <w:szCs w:val="21"/>
        </w:rPr>
        <w:t xml:space="preserve">◆ ご協議いただきたい点：</w:t>
      </w: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保険料の水準は、基金の活用度合い（次期の負担とのバランス）と激変緩和の観点が論点となります。具体的な基準額は第3回で詳細を協議し、第4回で決定します。本日は3パターンの考え方についてご意見をいただきたい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50" w:before="260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 3　今後のスケジュール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委員会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主な議題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第2回（本日）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令和8年11月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サービス見込量・給付費・保険料の見通し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第3回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令和9年1月中旬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保険料基準額の協議、計画素案（Ver.2.0）の審議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第4回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令和9年2月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保険料基準額の決定、計画最終案の確定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パブリックコメント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令和9年1〜2月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計画案の公表・意見募集</w:t>
            </w:r>
          </w:p>
        </w:tc>
      </w:tr>
    </w:tbl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本日いただいたご意見と、町提供データ・国通知・準備基金残高（令和8年6月確定）を反映し、</w:t>
      </w:r>
      <w:r>
        <w:rPr>
          <w:rFonts w:ascii="游明朝" w:cs="游明朝" w:eastAsia="游明朝" w:hAnsi="游明朝"/>
          <w:b/>
          <w:bCs/>
          <w:i w:val="false"/>
          <w:iCs w:val="false"/>
          <w:color w:val="1F3864"/>
          <w:sz w:val="21"/>
          <w:szCs w:val="21"/>
        </w:rPr>
        <w:t xml:space="preserve">第3回では確定値に基づく保険料基準額をご協議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いただきます。</w:t>
      </w:r>
    </w:p>
    <w:p>
      <w:pPr>
        <w:pBdr>
          <w:top w:val="single" w:color="2E75B6" w:sz="6" w:space="6"/>
        </w:pBdr>
        <w:spacing w:before="200"/>
      </w:pPr>
      <w:r>
        <w:rPr>
          <w:rFonts w:ascii="游明朝" w:cs="游明朝" w:eastAsia="游明朝" w:hAnsi="游明朝"/>
          <w:i/>
          <w:iCs/>
          <w:color w:val="808080"/>
          <w:sz w:val="18"/>
          <w:szCs w:val="18"/>
        </w:rPr>
        <w:t xml:space="preserve">本日ご協議いただきたい点：①施設サービス見込量の算定方針（町外利用を含む）、②給付費推計の考え方、③保険料3パターンの考え方。いずれも第3回・第4回での確定に向けた方向性の確認です。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明朝" w:cs="游明朝" w:eastAsia="游明朝" w:hAnsi="游明朝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jc w:val="right"/>
    </w:pPr>
    <w:r>
      <w:rPr>
        <w:rFonts w:ascii="游ゴシック" w:cs="游ゴシック" w:eastAsia="游ゴシック" w:hAnsi="游ゴシック"/>
        <w:color w:val="808080"/>
        <w:sz w:val="15"/>
        <w:szCs w:val="15"/>
      </w:rPr>
      <w:t xml:space="preserve">川崎町 第10期計画　第2回介護保険運営委員会 説明資料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85b78831a0a25822034642ca36e6ac187f4252.png"/><Relationship Id="rId10" Type="http://schemas.openxmlformats.org/officeDocument/2006/relationships/image" Target="media/1024a94fa914df0ea13ff2ff2099d1590722e680.png"/><Relationship Id="rId11" Type="http://schemas.openxmlformats.org/officeDocument/2006/relationships/image" Target="media/d1f17f30b521123d348d116f541852954ceb1c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2026-07-01T04:08:57.709Z</dcterms:created>
  <dcterms:modified xsi:type="dcterms:W3CDTF">2026-07-01T04:08:57.710Z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