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游ゴシック" w:cs="游ゴシック" w:eastAsia="游ゴシック" w:hAnsi="游ゴシック"/>
          <w:b/>
          <w:bCs/>
          <w:color w:val="1F3864"/>
          <w:sz w:val="24"/>
          <w:szCs w:val="24"/>
        </w:rPr>
        <w:t xml:space="preserve">川崎町高齢者保健福祉計画・第10期介護保険事業計画</w:t>
      </w:r>
    </w:p>
    <w:p>
      <w:pPr>
        <w:pBdr>
          <w:top w:val="single" w:color="1F3864" w:sz="2" w:space="8"/>
          <w:bottom w:val="single" w:color="1F3864" w:sz="2" w:space="8"/>
        </w:pBdr>
        <w:shd w:fill="1F3864" w:val="clear"/>
        <w:spacing w:after="40"/>
        <w:jc w:val="center"/>
      </w:pPr>
      <w:r>
        <w:rPr>
          <w:rFonts w:ascii="游ゴシック" w:cs="游ゴシック" w:eastAsia="游ゴシック" w:hAnsi="游ゴシック"/>
          <w:b/>
          <w:bCs/>
          <w:color w:val="FFFFFF"/>
          <w:sz w:val="28"/>
          <w:szCs w:val="28"/>
        </w:rPr>
        <w:t xml:space="preserve">資料編　構成案・素案（第9期準拠版）</w:t>
      </w:r>
    </w:p>
    <w:p>
      <w:pPr>
        <w:spacing w:after="20" w:before="120"/>
        <w:jc w:val="center"/>
      </w:pPr>
      <w:r>
        <w:rPr>
          <w:rFonts w:ascii="游明朝" w:cs="游明朝" w:eastAsia="游明朝" w:hAnsi="游明朝"/>
          <w:i/>
          <w:iCs/>
          <w:color w:val="2E75B6"/>
          <w:sz w:val="20"/>
          <w:szCs w:val="20"/>
        </w:rPr>
        <w:t xml:space="preserve">〜 前回（第9期）計画の資料編構成に準拠し、町の実態に合わせて再構成 〜</w:t>
      </w:r>
    </w:p>
    <w:p>
      <w:pPr>
        <w:spacing w:after="0" w:before="160"/>
        <w:jc w:val="center"/>
      </w:pPr>
      <w:r>
        <w:rPr>
          <w:rFonts w:ascii="游明朝" w:cs="游明朝" w:eastAsia="游明朝" w:hAnsi="游明朝"/>
          <w:color w:val="808080"/>
          <w:sz w:val="18"/>
          <w:szCs w:val="18"/>
        </w:rPr>
        <w:t xml:space="preserve">令和8年6月　ビズアップ公共コンサルティング株式会社（札幌事業所）</w:t>
      </w:r>
    </w:p>
    <w:p>
      <w:pPr>
        <w:pBdr>
          <w:top w:val="single" w:color="1F3864" w:sz="2" w:space="6"/>
          <w:bottom w:val="single" w:color="1F3864" w:sz="2" w:space="6"/>
        </w:pBdr>
        <w:shd w:fill="1F3864" w:val="clear"/>
        <w:spacing w:after="160" w:before="320"/>
      </w:pPr>
      <w:r>
        <w:rPr>
          <w:rFonts w:ascii="游ゴシック" w:cs="游ゴシック" w:eastAsia="游ゴシック" w:hAnsi="游ゴシック"/>
          <w:b/>
          <w:bCs/>
          <w:color w:val="FFC000"/>
          <w:sz w:val="26"/>
          <w:szCs w:val="26"/>
        </w:rPr>
        <w:t xml:space="preserve">  方針  </w:t>
      </w:r>
      <w:r>
        <w:rPr>
          <w:rFonts w:ascii="游ゴシック" w:cs="游ゴシック" w:eastAsia="游ゴシック" w:hAnsi="游ゴシック"/>
          <w:b/>
          <w:bCs/>
          <w:color w:val="FFFFFF"/>
          <w:sz w:val="26"/>
          <w:szCs w:val="26"/>
        </w:rPr>
        <w:t xml:space="preserve">資料編の整備方針</w:t>
      </w:r>
    </w:p>
    <w:p>
      <w:pPr>
        <w:spacing w:after="120" w:line="300"/>
        <w:jc w:val="both"/>
      </w:pPr>
      <w:r>
        <w:rPr>
          <w:rFonts w:ascii="游明朝" w:cs="游明朝" w:eastAsia="游明朝" w:hAnsi="游明朝"/>
          <w:b w:val="false"/>
          <w:bCs w:val="false"/>
          <w:i w:val="false"/>
          <w:iCs w:val="false"/>
          <w:color w:val="262626"/>
          <w:sz w:val="21"/>
          <w:szCs w:val="21"/>
        </w:rPr>
        <w:t xml:space="preserve">本書は、</w:t>
      </w:r>
      <w:r>
        <w:rPr>
          <w:rFonts w:ascii="游明朝" w:cs="游明朝" w:eastAsia="游明朝" w:hAnsi="游明朝"/>
          <w:b/>
          <w:bCs/>
          <w:i w:val="false"/>
          <w:iCs w:val="false"/>
          <w:color w:val="1F3864"/>
          <w:sz w:val="21"/>
          <w:szCs w:val="21"/>
        </w:rPr>
        <w:t xml:space="preserve">前回（第9期）川崎町計画の資料編（令和6年3月策定・全4項目）を確認</w:t>
      </w:r>
      <w:r>
        <w:rPr>
          <w:rFonts w:ascii="游明朝" w:cs="游明朝" w:eastAsia="游明朝" w:hAnsi="游明朝"/>
          <w:b w:val="false"/>
          <w:bCs w:val="false"/>
          <w:i w:val="false"/>
          <w:iCs w:val="false"/>
          <w:color w:val="262626"/>
          <w:sz w:val="21"/>
          <w:szCs w:val="21"/>
        </w:rPr>
        <w:t xml:space="preserve">したうえで、第10期計画の資料編構成案と素案を示すものです。前回資料編は、専用の「策定委員会」を設けず</w:t>
      </w:r>
      <w:r>
        <w:rPr>
          <w:rFonts w:ascii="游明朝" w:cs="游明朝" w:eastAsia="游明朝" w:hAnsi="游明朝"/>
          <w:b/>
          <w:bCs/>
          <w:i w:val="false"/>
          <w:iCs w:val="false"/>
          <w:color w:val="C00000"/>
          <w:sz w:val="21"/>
          <w:szCs w:val="21"/>
        </w:rPr>
        <w:t xml:space="preserve">介護保険条例で設置された常設の「川崎町介護保険運営委員会」</w:t>
      </w:r>
      <w:r>
        <w:rPr>
          <w:rFonts w:ascii="游明朝" w:cs="游明朝" w:eastAsia="游明朝" w:hAnsi="游明朝"/>
          <w:b w:val="false"/>
          <w:bCs w:val="false"/>
          <w:i w:val="false"/>
          <w:iCs w:val="false"/>
          <w:color w:val="262626"/>
          <w:sz w:val="21"/>
          <w:szCs w:val="21"/>
        </w:rPr>
        <w:t xml:space="preserve">により計画を策定する形をとっており、本書はこの町の実態（house style）に準拠して構成します。</w:t>
      </w:r>
    </w:p>
    <w:p>
      <w:pPr>
        <w:pBdr>
          <w:top w:val="single" w:color="DEEBF7" w:sz="2" w:space="4"/>
          <w:left w:val="single" w:color="2E75B6" w:sz="18" w:space="10"/>
          <w:bottom w:val="single" w:color="DEEBF7" w:sz="2" w:space="4"/>
        </w:pBdr>
        <w:shd w:fill="DEEBF7" w:val="clear"/>
        <w:spacing w:after="140" w:before="80"/>
      </w:pPr>
      <w:r>
        <w:rPr>
          <w:rFonts w:ascii="游ゴシック" w:cs="游ゴシック" w:eastAsia="游ゴシック" w:hAnsi="游ゴシック"/>
          <w:b/>
          <w:bCs/>
          <w:color w:val="1F3864"/>
          <w:sz w:val="21"/>
          <w:szCs w:val="21"/>
        </w:rPr>
        <w:t xml:space="preserve">● 前回資料編は①介護保険条例（抜粋）②運営委員会規則③委員名簿④策定経過の4項目構成。本書はこれに準拠し、加えて住民利便のための用語解説・関連法令を任意の追加資料として提案する。</w:t>
      </w:r>
    </w:p>
    <w:p>
      <w:pPr>
        <w:pBdr>
          <w:top w:val="single" w:color="FCE4D6" w:sz="2" w:space="4"/>
          <w:left w:val="single" w:color="C55A11" w:sz="18" w:space="10"/>
          <w:bottom w:val="single" w:color="FCE4D6" w:sz="2" w:space="4"/>
        </w:pBdr>
        <w:shd w:fill="FCE4D6" w:val="clear"/>
        <w:spacing w:after="140" w:before="80"/>
      </w:pPr>
      <w:r>
        <w:rPr>
          <w:rFonts w:ascii="游ゴシック" w:cs="游ゴシック" w:eastAsia="游ゴシック" w:hAnsi="游ゴシック"/>
          <w:b/>
          <w:bCs/>
          <w:color w:val="1F3864"/>
          <w:sz w:val="21"/>
          <w:szCs w:val="21"/>
        </w:rPr>
        <w:t xml:space="preserve">● 【要・本文修正】前回計画は審議組織を「介護保険運営委員会」と表記（本文中17回）。一方、第10期計画書本文v1.6は「策定委員会」と表記（20回）。整合のため本文・委員会関係成果物の名称を「介護保険運営委員会」へ統一する必要がある。</w:t>
      </w:r>
    </w:p>
    <w:p>
      <w:pPr>
        <w:pBdr>
          <w:left w:val="single" w:color="2E75B6" w:sz="18" w:space="8"/>
        </w:pBdr>
        <w:spacing w:after="90" w:before="200"/>
      </w:pPr>
      <w:r>
        <w:rPr>
          <w:rFonts w:ascii="游ゴシック" w:cs="游ゴシック" w:eastAsia="游ゴシック" w:hAnsi="游ゴシック"/>
          <w:b/>
          <w:bCs/>
          <w:color w:val="1F3864"/>
          <w:sz w:val="22"/>
          <w:szCs w:val="22"/>
        </w:rPr>
        <w:t xml:space="preserve"> 資料編の構成案（第10期計画）</w:t>
      </w:r>
    </w:p>
    <w:p>
      <w:pPr>
        <w:spacing w:after="120" w:line="300"/>
        <w:jc w:val="both"/>
      </w:pPr>
      <w:r>
        <w:rPr>
          <w:rFonts w:ascii="游明朝" w:cs="游明朝" w:eastAsia="游明朝" w:hAnsi="游明朝"/>
          <w:color w:val="262626"/>
          <w:sz w:val="21"/>
          <w:szCs w:val="21"/>
        </w:rPr>
        <w:t xml:space="preserve">前回（第9期）の4項目を基本構成（町実績準拠）とし、用語解説・関連法令の2項目を任意の追加提案として整理します。各項目の区分を色分けで示します。</w:t>
      </w:r>
    </w:p>
    <w:p>
      <w:pPr>
        <w:spacing w:after="40" w:before="60"/>
      </w:pPr>
      <w:r>
        <w:rPr>
          <w:rFonts w:ascii="游ゴシック" w:cs="游ゴシック" w:eastAsia="游ゴシック" w:hAnsi="游ゴシック"/>
          <w:b/>
          <w:bCs/>
          <w:color w:val="1F3864"/>
          <w:sz w:val="20"/>
          <w:szCs w:val="20"/>
        </w:rPr>
        <w:t xml:space="preserve">表　資料編 構成案と区分</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760"/>
        <w:gridCol w:w="3400"/>
        <w:gridCol w:w="3200"/>
        <w:gridCol w:w="2400"/>
      </w:tblGrid>
      <w:tr>
        <w:trPr>
          <w:tblHeader/>
        </w:trPr>
        <w:tc>
          <w:tcPr>
            <w:tcW w:type="dxa" w:w="76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資料</w:t>
            </w:r>
          </w:p>
        </w:tc>
        <w:tc>
          <w:tcPr>
            <w:tcW w:type="dxa" w:w="34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名称</w:t>
            </w:r>
          </w:p>
        </w:tc>
        <w:tc>
          <w:tcPr>
            <w:tcW w:type="dxa" w:w="32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区分・根拠</w:t>
            </w:r>
          </w:p>
        </w:tc>
        <w:tc>
          <w:tcPr>
            <w:tcW w:type="dxa" w:w="24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作成状況</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資料1</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bCs/>
                <w:color w:val="262626"/>
                <w:sz w:val="19"/>
                <w:szCs w:val="19"/>
              </w:rPr>
              <w:t xml:space="preserve">川崎町介護保険条例（抜粋）</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bCs/>
                <w:color w:val="548235"/>
                <w:sz w:val="19"/>
                <w:szCs w:val="19"/>
              </w:rPr>
              <w:t xml:space="preserve">町実績準拠／第9期資料編①</w:t>
            </w:r>
          </w:p>
        </w:tc>
        <w:tc>
          <w:tcPr>
            <w:tcBorders>
              <w:top w:val="single" w:color="808080" w:sz="4"/>
              <w:left w:val="single" w:color="808080" w:sz="4"/>
              <w:bottom w:val="single" w:color="808080" w:sz="4"/>
              <w:right w:val="single" w:color="808080" w:sz="4"/>
            </w:tcBorders>
            <w:shd w:fill="E2EFDA" w:val="clear"/>
            <w:tcMar>
              <w:top w:type="dxa" w:w="60"/>
              <w:left w:type="dxa" w:w="110"/>
              <w:bottom w:type="dxa" w:w="60"/>
              <w:right w:type="dxa" w:w="110"/>
            </w:tcMar>
            <w:vAlign w:val="center"/>
          </w:tcPr>
          <w:p>
            <w:pPr>
              <w:jc w:val="center"/>
            </w:pPr>
            <w:r>
              <w:rPr>
                <w:rFonts w:ascii="游明朝" w:cs="游明朝" w:eastAsia="游明朝" w:hAnsi="游明朝"/>
                <w:b/>
                <w:bCs/>
                <w:color w:val="548235"/>
                <w:sz w:val="19"/>
                <w:szCs w:val="19"/>
              </w:rPr>
              <w:t xml:space="preserve">素案収録（要・現行条例照合）</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資料2</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bCs/>
                <w:color w:val="262626"/>
                <w:sz w:val="19"/>
                <w:szCs w:val="19"/>
              </w:rPr>
              <w:t xml:space="preserve">川崎町介護保険運営委員会規則</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bCs/>
                <w:color w:val="548235"/>
                <w:sz w:val="19"/>
                <w:szCs w:val="19"/>
              </w:rPr>
              <w:t xml:space="preserve">町実績準拠／第9期資料編②</w:t>
            </w:r>
          </w:p>
        </w:tc>
        <w:tc>
          <w:tcPr>
            <w:tcBorders>
              <w:top w:val="single" w:color="808080" w:sz="4"/>
              <w:left w:val="single" w:color="808080" w:sz="4"/>
              <w:bottom w:val="single" w:color="808080" w:sz="4"/>
              <w:right w:val="single" w:color="808080" w:sz="4"/>
            </w:tcBorders>
            <w:shd w:fill="E2EFDA" w:val="clear"/>
            <w:tcMar>
              <w:top w:type="dxa" w:w="60"/>
              <w:left w:type="dxa" w:w="110"/>
              <w:bottom w:type="dxa" w:w="60"/>
              <w:right w:type="dxa" w:w="110"/>
            </w:tcMar>
            <w:vAlign w:val="center"/>
          </w:tcPr>
          <w:p>
            <w:pPr>
              <w:jc w:val="center"/>
            </w:pPr>
            <w:r>
              <w:rPr>
                <w:rFonts w:ascii="游明朝" w:cs="游明朝" w:eastAsia="游明朝" w:hAnsi="游明朝"/>
                <w:b/>
                <w:bCs/>
                <w:color w:val="548235"/>
                <w:sz w:val="19"/>
                <w:szCs w:val="19"/>
              </w:rPr>
              <w:t xml:space="preserve">素案収録（要・現行規則照合）</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資料3</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bCs/>
                <w:color w:val="262626"/>
                <w:sz w:val="19"/>
                <w:szCs w:val="19"/>
              </w:rPr>
              <w:t xml:space="preserve">川崎町介護保険運営委員会 委員名簿</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bCs/>
                <w:color w:val="548235"/>
                <w:sz w:val="19"/>
                <w:szCs w:val="19"/>
              </w:rPr>
              <w:t xml:space="preserve">町実績準拠／第9期資料編③</w:t>
            </w:r>
          </w:p>
        </w:tc>
        <w:tc>
          <w:tcPr>
            <w:tcBorders>
              <w:top w:val="single" w:color="808080" w:sz="4"/>
              <w:left w:val="single" w:color="808080" w:sz="4"/>
              <w:bottom w:val="single" w:color="808080" w:sz="4"/>
              <w:right w:val="single" w:color="808080" w:sz="4"/>
            </w:tcBorders>
            <w:shd w:fill="FCE4D6" w:val="clear"/>
            <w:tcMar>
              <w:top w:type="dxa" w:w="60"/>
              <w:left w:type="dxa" w:w="110"/>
              <w:bottom w:type="dxa" w:w="60"/>
              <w:right w:type="dxa" w:w="110"/>
            </w:tcMar>
            <w:vAlign w:val="center"/>
          </w:tcPr>
          <w:p>
            <w:pPr>
              <w:jc w:val="center"/>
            </w:pPr>
            <w:r>
              <w:rPr>
                <w:rFonts w:ascii="游明朝" w:cs="游明朝" w:eastAsia="游明朝" w:hAnsi="游明朝"/>
                <w:b/>
                <w:bCs/>
                <w:color w:val="C55A11"/>
                <w:sz w:val="19"/>
                <w:szCs w:val="19"/>
              </w:rPr>
              <w:t xml:space="preserve">様式確定・委嘱後記入</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資料4</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bCs/>
                <w:color w:val="262626"/>
                <w:sz w:val="19"/>
                <w:szCs w:val="19"/>
              </w:rPr>
              <w:t xml:space="preserve">策定経過の概要</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bCs/>
                <w:color w:val="548235"/>
                <w:sz w:val="19"/>
                <w:szCs w:val="19"/>
              </w:rPr>
              <w:t xml:space="preserve">町実績準拠／第9期資料編④</w:t>
            </w:r>
          </w:p>
        </w:tc>
        <w:tc>
          <w:tcPr>
            <w:tcBorders>
              <w:top w:val="single" w:color="808080" w:sz="4"/>
              <w:left w:val="single" w:color="808080" w:sz="4"/>
              <w:bottom w:val="single" w:color="808080" w:sz="4"/>
              <w:right w:val="single" w:color="808080" w:sz="4"/>
            </w:tcBorders>
            <w:shd w:fill="FCE4D6" w:val="clear"/>
            <w:tcMar>
              <w:top w:type="dxa" w:w="60"/>
              <w:left w:type="dxa" w:w="110"/>
              <w:bottom w:type="dxa" w:w="60"/>
              <w:right w:type="dxa" w:w="110"/>
            </w:tcMar>
            <w:vAlign w:val="center"/>
          </w:tcPr>
          <w:p>
            <w:pPr>
              <w:jc w:val="center"/>
            </w:pPr>
            <w:r>
              <w:rPr>
                <w:rFonts w:ascii="游明朝" w:cs="游明朝" w:eastAsia="游明朝" w:hAnsi="游明朝"/>
                <w:b/>
                <w:bCs/>
                <w:color w:val="C55A11"/>
                <w:sz w:val="19"/>
                <w:szCs w:val="19"/>
              </w:rPr>
              <w:t xml:space="preserve">様式確定・策定完了後確定</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資料5</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bCs/>
                <w:color w:val="7030A0"/>
                <w:sz w:val="19"/>
                <w:szCs w:val="19"/>
              </w:rPr>
              <w:t xml:space="preserve">用語の解説</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bCs/>
                <w:color w:val="7030A0"/>
                <w:sz w:val="19"/>
                <w:szCs w:val="19"/>
              </w:rPr>
              <w:t xml:space="preserve">新規提案（任意）／第9期には無し</w:t>
            </w:r>
          </w:p>
        </w:tc>
        <w:tc>
          <w:tcPr>
            <w:tcBorders>
              <w:top w:val="single" w:color="808080" w:sz="4"/>
              <w:left w:val="single" w:color="808080" w:sz="4"/>
              <w:bottom w:val="single" w:color="808080" w:sz="4"/>
              <w:right w:val="single" w:color="808080" w:sz="4"/>
            </w:tcBorders>
            <w:shd w:fill="E9DFF2" w:val="clear"/>
            <w:tcMar>
              <w:top w:type="dxa" w:w="60"/>
              <w:left w:type="dxa" w:w="110"/>
              <w:bottom w:type="dxa" w:w="60"/>
              <w:right w:type="dxa" w:w="110"/>
            </w:tcMar>
            <w:vAlign w:val="center"/>
          </w:tcPr>
          <w:p>
            <w:pPr>
              <w:jc w:val="center"/>
            </w:pPr>
            <w:r>
              <w:rPr>
                <w:rFonts w:ascii="游明朝" w:cs="游明朝" w:eastAsia="游明朝" w:hAnsi="游明朝"/>
                <w:b/>
                <w:bCs/>
                <w:color w:val="7030A0"/>
                <w:sz w:val="19"/>
                <w:szCs w:val="19"/>
              </w:rPr>
              <w:t xml:space="preserve">素案収録（採否は町判断）</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資料6</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bCs/>
                <w:color w:val="7030A0"/>
                <w:sz w:val="19"/>
                <w:szCs w:val="19"/>
              </w:rPr>
              <w:t xml:space="preserve">関連法令・告示（抜粋）</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bCs/>
                <w:color w:val="7030A0"/>
                <w:sz w:val="19"/>
                <w:szCs w:val="19"/>
              </w:rPr>
              <w:t xml:space="preserve">新規提案（任意）／第9期には無し</w:t>
            </w:r>
          </w:p>
        </w:tc>
        <w:tc>
          <w:tcPr>
            <w:tcBorders>
              <w:top w:val="single" w:color="808080" w:sz="4"/>
              <w:left w:val="single" w:color="808080" w:sz="4"/>
              <w:bottom w:val="single" w:color="808080" w:sz="4"/>
              <w:right w:val="single" w:color="808080" w:sz="4"/>
            </w:tcBorders>
            <w:shd w:fill="E9DFF2" w:val="clear"/>
            <w:tcMar>
              <w:top w:type="dxa" w:w="60"/>
              <w:left w:type="dxa" w:w="110"/>
              <w:bottom w:type="dxa" w:w="60"/>
              <w:right w:type="dxa" w:w="110"/>
            </w:tcMar>
            <w:vAlign w:val="center"/>
          </w:tcPr>
          <w:p>
            <w:pPr>
              <w:jc w:val="center"/>
            </w:pPr>
            <w:r>
              <w:rPr>
                <w:rFonts w:ascii="游明朝" w:cs="游明朝" w:eastAsia="游明朝" w:hAnsi="游明朝"/>
                <w:b/>
                <w:bCs/>
                <w:color w:val="7030A0"/>
                <w:sz w:val="19"/>
                <w:szCs w:val="19"/>
              </w:rPr>
              <w:t xml:space="preserve">素案収録（採否は町判断）</w:t>
            </w:r>
          </w:p>
        </w:tc>
      </w:tr>
    </w:tbl>
    <w:p>
      <w:pPr>
        <w:spacing w:after="120"/>
      </w:pPr>
      <w:r>
        <w:rPr>
          <w:rFonts w:ascii="游明朝" w:cs="游明朝" w:eastAsia="游明朝" w:hAnsi="游明朝"/>
          <w:i/>
          <w:iCs/>
          <w:color w:val="808080"/>
          <w:sz w:val="17"/>
          <w:szCs w:val="17"/>
        </w:rPr>
        <w:t xml:space="preserve">※ 前回（第9期）資料編では、アンケート調査・パブリックコメント・諮問答申は独立資料とせず、資料4「策定経過の概要」の中で言及する形をとっている。本書もこれに準拠し、これらを独立資料とせず策定経過に統合する。調査の詳細結果は別冊（調査結果報告書）として整理する。</w:t>
      </w:r>
    </w:p>
    <w:p>
      <w:r>
        <w:br w:type="page"/>
      </w:r>
    </w:p>
    <w:p>
      <w:pPr>
        <w:pBdr>
          <w:top w:val="single" w:color="1F3864" w:sz="2" w:space="6"/>
          <w:bottom w:val="single" w:color="1F3864" w:sz="2" w:space="6"/>
        </w:pBdr>
        <w:shd w:fill="1F3864" w:val="clear"/>
        <w:spacing w:after="160" w:before="320"/>
      </w:pPr>
      <w:r>
        <w:rPr>
          <w:rFonts w:ascii="游ゴシック" w:cs="游ゴシック" w:eastAsia="游ゴシック" w:hAnsi="游ゴシック"/>
          <w:b/>
          <w:bCs/>
          <w:color w:val="FFC000"/>
          <w:sz w:val="26"/>
          <w:szCs w:val="26"/>
        </w:rPr>
        <w:t xml:space="preserve">  基本構成  </w:t>
      </w:r>
      <w:r>
        <w:rPr>
          <w:rFonts w:ascii="游ゴシック" w:cs="游ゴシック" w:eastAsia="游ゴシック" w:hAnsi="游ゴシック"/>
          <w:b/>
          <w:bCs/>
          <w:color w:val="FFFFFF"/>
          <w:sz w:val="26"/>
          <w:szCs w:val="26"/>
        </w:rPr>
        <w:t xml:space="preserve">町実績準拠の資料（第9期資料編に対応）</w:t>
      </w:r>
    </w:p>
    <w:p>
      <w:pPr>
        <w:pBdr>
          <w:top w:val="single" w:color="DEEBF7" w:sz="2" w:space="4"/>
          <w:left w:val="single" w:color="2E75B6" w:sz="20" w:space="8"/>
          <w:bottom w:val="single" w:color="DEEBF7" w:sz="2" w:space="4"/>
        </w:pBdr>
        <w:shd w:fill="DEEBF7" w:val="clear"/>
        <w:spacing w:after="140" w:before="300"/>
      </w:pPr>
      <w:r>
        <w:rPr>
          <w:rFonts w:ascii="游ゴシック" w:cs="游ゴシック" w:eastAsia="游ゴシック" w:hAnsi="游ゴシック"/>
          <w:b/>
          <w:bCs/>
          <w:color w:val="C55A11"/>
          <w:sz w:val="24"/>
          <w:szCs w:val="24"/>
        </w:rPr>
        <w:t xml:space="preserve">資料1　</w:t>
      </w:r>
      <w:r>
        <w:rPr>
          <w:rFonts w:ascii="游ゴシック" w:cs="游ゴシック" w:eastAsia="游ゴシック" w:hAnsi="游ゴシック"/>
          <w:b/>
          <w:bCs/>
          <w:color w:val="1F3864"/>
          <w:sz w:val="24"/>
          <w:szCs w:val="24"/>
        </w:rPr>
        <w:t xml:space="preserve">川崎町介護保険条例（抜粋）</w:t>
      </w:r>
      <w:r>
        <w:rPr>
          <w:rFonts w:ascii="游ゴシック" w:cs="游ゴシック" w:eastAsia="游ゴシック" w:hAnsi="游ゴシック"/>
          <w:b/>
          <w:bCs/>
          <w:color w:val="548235"/>
          <w:sz w:val="18"/>
          <w:szCs w:val="18"/>
        </w:rPr>
        <w:t xml:space="preserve">　［町実績準拠］</w:t>
      </w:r>
    </w:p>
    <w:p>
      <w:pPr>
        <w:spacing w:after="120" w:line="300"/>
        <w:jc w:val="both"/>
      </w:pPr>
      <w:r>
        <w:rPr>
          <w:rFonts w:ascii="游明朝" w:cs="游明朝" w:eastAsia="游明朝" w:hAnsi="游明朝"/>
          <w:color w:val="262626"/>
          <w:sz w:val="21"/>
          <w:szCs w:val="21"/>
        </w:rPr>
        <w:t xml:space="preserve">審議組織の設置根拠となる介護保険条例の関係条文（第5章 介護保険運営委員会）を掲載します。以下は前回（第9期）資料編収録の条文であり、第10期計画掲載時は現行条例との一致を確認します。</w:t>
      </w:r>
    </w:p>
    <w:p>
      <w:pPr>
        <w:spacing w:after="80" w:before="120"/>
        <w:jc w:val="center"/>
      </w:pPr>
      <w:r>
        <w:rPr>
          <w:rFonts w:ascii="游ゴシック" w:cs="游ゴシック" w:eastAsia="游ゴシック" w:hAnsi="游ゴシック"/>
          <w:b/>
          <w:bCs/>
          <w:color w:val="1F3864"/>
          <w:sz w:val="21"/>
          <w:szCs w:val="21"/>
        </w:rPr>
        <w:t xml:space="preserve">川崎町介護保険条例（平成12年川崎町条例第1号）抜粋</w:t>
      </w:r>
    </w:p>
    <w:p>
      <w:pPr>
        <w:spacing w:after="80"/>
        <w:jc w:val="center"/>
      </w:pPr>
      <w:r>
        <w:rPr>
          <w:rFonts w:ascii="游ゴシック" w:cs="游ゴシック" w:eastAsia="游ゴシック" w:hAnsi="游ゴシック"/>
          <w:b/>
          <w:bCs/>
          <w:color w:val="1F3864"/>
          <w:sz w:val="20"/>
          <w:szCs w:val="20"/>
        </w:rPr>
        <w:t xml:space="preserve">第５章　介護保険運営委員会</w:t>
      </w:r>
    </w:p>
    <w:p>
      <w:pPr>
        <w:spacing w:after="40" w:before="120"/>
      </w:pPr>
      <w:r>
        <w:rPr>
          <w:rFonts w:ascii="游ゴシック" w:cs="游ゴシック" w:eastAsia="游ゴシック" w:hAnsi="游ゴシック"/>
          <w:b/>
          <w:bCs/>
          <w:color w:val="1F3864"/>
          <w:sz w:val="20"/>
          <w:szCs w:val="20"/>
        </w:rPr>
        <w:t xml:space="preserve">（介護保険運営委員会の設置）</w:t>
      </w:r>
    </w:p>
    <w:p>
      <w:pPr>
        <w:spacing w:after="30" w:line="280"/>
      </w:pPr>
      <w:r>
        <w:rPr>
          <w:rFonts w:ascii="游明朝" w:cs="游明朝" w:eastAsia="游明朝" w:hAnsi="游明朝"/>
          <w:color w:val="262626"/>
          <w:sz w:val="19"/>
          <w:szCs w:val="19"/>
        </w:rPr>
        <w:t xml:space="preserve">第17条　介護保険に関する施策の実施を、町民の意見を十分に反映しながら円滑かつ適切に行うため、川崎町介護保険運営委員会（以下「委員会」という。）を置くことができるものとする。</w:t>
      </w:r>
    </w:p>
    <w:p>
      <w:pPr>
        <w:spacing w:after="40" w:before="120"/>
      </w:pPr>
      <w:r>
        <w:rPr>
          <w:rFonts w:ascii="游ゴシック" w:cs="游ゴシック" w:eastAsia="游ゴシック" w:hAnsi="游ゴシック"/>
          <w:b/>
          <w:bCs/>
          <w:color w:val="1F3864"/>
          <w:sz w:val="20"/>
          <w:szCs w:val="20"/>
        </w:rPr>
        <w:t xml:space="preserve">（所掌事務）</w:t>
      </w:r>
    </w:p>
    <w:p>
      <w:pPr>
        <w:spacing w:after="30" w:line="280"/>
      </w:pPr>
      <w:r>
        <w:rPr>
          <w:rFonts w:ascii="游明朝" w:cs="游明朝" w:eastAsia="游明朝" w:hAnsi="游明朝"/>
          <w:color w:val="262626"/>
          <w:sz w:val="19"/>
          <w:szCs w:val="19"/>
        </w:rPr>
        <w:t xml:space="preserve">第18条　委員会は、次に掲げる事項について調査審議する。</w:t>
      </w:r>
    </w:p>
    <w:p>
      <w:pPr>
        <w:spacing w:after="30" w:line="280"/>
        <w:ind w:left="300"/>
      </w:pPr>
      <w:r>
        <w:rPr>
          <w:rFonts w:ascii="游明朝" w:cs="游明朝" w:eastAsia="游明朝" w:hAnsi="游明朝"/>
          <w:color w:val="262626"/>
          <w:sz w:val="19"/>
          <w:szCs w:val="19"/>
        </w:rPr>
        <w:t xml:space="preserve">(1) 法第117条第１項の規定による介護保険事業計画の策定又は変更に関する事項</w:t>
      </w:r>
    </w:p>
    <w:p>
      <w:pPr>
        <w:spacing w:after="30" w:line="280"/>
        <w:ind w:left="300"/>
      </w:pPr>
      <w:r>
        <w:rPr>
          <w:rFonts w:ascii="游明朝" w:cs="游明朝" w:eastAsia="游明朝" w:hAnsi="游明朝"/>
          <w:color w:val="262626"/>
          <w:sz w:val="19"/>
          <w:szCs w:val="19"/>
        </w:rPr>
        <w:t xml:space="preserve">(2) 介護保険に関する施策及び事務事業の評価に関する事項</w:t>
      </w:r>
    </w:p>
    <w:p>
      <w:pPr>
        <w:spacing w:after="30" w:line="280"/>
        <w:ind w:left="300"/>
      </w:pPr>
      <w:r>
        <w:rPr>
          <w:rFonts w:ascii="游明朝" w:cs="游明朝" w:eastAsia="游明朝" w:hAnsi="游明朝"/>
          <w:color w:val="262626"/>
          <w:sz w:val="19"/>
          <w:szCs w:val="19"/>
        </w:rPr>
        <w:t xml:space="preserve">(3) その他介護保険の運営に関し必要と認められる事項</w:t>
      </w:r>
    </w:p>
    <w:p>
      <w:pPr>
        <w:spacing w:after="40" w:before="120"/>
      </w:pPr>
      <w:r>
        <w:rPr>
          <w:rFonts w:ascii="游ゴシック" w:cs="游ゴシック" w:eastAsia="游ゴシック" w:hAnsi="游ゴシック"/>
          <w:b/>
          <w:bCs/>
          <w:color w:val="1F3864"/>
          <w:sz w:val="20"/>
          <w:szCs w:val="20"/>
        </w:rPr>
        <w:t xml:space="preserve">（組織）</w:t>
      </w:r>
    </w:p>
    <w:p>
      <w:pPr>
        <w:spacing w:after="30" w:line="280"/>
      </w:pPr>
      <w:r>
        <w:rPr>
          <w:rFonts w:ascii="游明朝" w:cs="游明朝" w:eastAsia="游明朝" w:hAnsi="游明朝"/>
          <w:color w:val="262626"/>
          <w:sz w:val="19"/>
          <w:szCs w:val="19"/>
        </w:rPr>
        <w:t xml:space="preserve">第19条　委員会は、委員８人以内をもって組織する。</w:t>
      </w:r>
    </w:p>
    <w:p>
      <w:pPr>
        <w:spacing w:after="30" w:line="280"/>
      </w:pPr>
      <w:r>
        <w:rPr>
          <w:rFonts w:ascii="游明朝" w:cs="游明朝" w:eastAsia="游明朝" w:hAnsi="游明朝"/>
          <w:color w:val="262626"/>
          <w:sz w:val="19"/>
          <w:szCs w:val="19"/>
        </w:rPr>
        <w:t xml:space="preserve">２　委員は、次の各号に掲げる者のうちから、それぞれ当該各号に定める数の範囲内において、町長が任命する。</w:t>
      </w:r>
    </w:p>
    <w:p>
      <w:pPr>
        <w:spacing w:after="30" w:line="280"/>
        <w:ind w:left="300"/>
      </w:pPr>
      <w:r>
        <w:rPr>
          <w:rFonts w:ascii="游明朝" w:cs="游明朝" w:eastAsia="游明朝" w:hAnsi="游明朝"/>
          <w:color w:val="262626"/>
          <w:sz w:val="19"/>
          <w:szCs w:val="19"/>
        </w:rPr>
        <w:t xml:space="preserve">(1) 被保険者を代表する者　３人</w:t>
      </w:r>
    </w:p>
    <w:p>
      <w:pPr>
        <w:spacing w:after="30" w:line="280"/>
        <w:ind w:left="300"/>
      </w:pPr>
      <w:r>
        <w:rPr>
          <w:rFonts w:ascii="游明朝" w:cs="游明朝" w:eastAsia="游明朝" w:hAnsi="游明朝"/>
          <w:color w:val="262626"/>
          <w:sz w:val="19"/>
          <w:szCs w:val="19"/>
        </w:rPr>
        <w:t xml:space="preserve">(2) 介護に関し学識又は経験を有する者　２人</w:t>
      </w:r>
    </w:p>
    <w:p>
      <w:pPr>
        <w:spacing w:after="30" w:line="280"/>
        <w:ind w:left="300"/>
      </w:pPr>
      <w:r>
        <w:rPr>
          <w:rFonts w:ascii="游明朝" w:cs="游明朝" w:eastAsia="游明朝" w:hAnsi="游明朝"/>
          <w:color w:val="262626"/>
          <w:sz w:val="19"/>
          <w:szCs w:val="19"/>
        </w:rPr>
        <w:t xml:space="preserve">(3) 介護サービスに関する事業に従事する者　３人</w:t>
      </w:r>
    </w:p>
    <w:p>
      <w:pPr>
        <w:spacing w:after="30" w:line="280"/>
      </w:pPr>
      <w:r>
        <w:rPr>
          <w:rFonts w:ascii="游明朝" w:cs="游明朝" w:eastAsia="游明朝" w:hAnsi="游明朝"/>
          <w:color w:val="262626"/>
          <w:sz w:val="19"/>
          <w:szCs w:val="19"/>
        </w:rPr>
        <w:t xml:space="preserve">３　委員の任期は、２年とする（４月１日から翌々年の３月末日までとする。）。ただし、委員が欠けた場合における補欠の委員の任期は、前任者の残任期間とする。</w:t>
      </w:r>
    </w:p>
    <w:p>
      <w:pPr>
        <w:spacing w:after="30" w:line="280"/>
      </w:pPr>
      <w:r>
        <w:rPr>
          <w:rFonts w:ascii="游明朝" w:cs="游明朝" w:eastAsia="游明朝" w:hAnsi="游明朝"/>
          <w:color w:val="262626"/>
          <w:sz w:val="19"/>
          <w:szCs w:val="19"/>
        </w:rPr>
        <w:t xml:space="preserve">４　委員は、再任されることができる。</w:t>
      </w:r>
    </w:p>
    <w:p>
      <w:pPr>
        <w:spacing w:after="40" w:before="120"/>
      </w:pPr>
      <w:r>
        <w:rPr>
          <w:rFonts w:ascii="游ゴシック" w:cs="游ゴシック" w:eastAsia="游ゴシック" w:hAnsi="游ゴシック"/>
          <w:b/>
          <w:bCs/>
          <w:color w:val="1F3864"/>
          <w:sz w:val="20"/>
          <w:szCs w:val="20"/>
        </w:rPr>
        <w:t xml:space="preserve">（規則等への委任）</w:t>
      </w:r>
    </w:p>
    <w:p>
      <w:pPr>
        <w:spacing w:after="30" w:line="280"/>
      </w:pPr>
      <w:r>
        <w:rPr>
          <w:rFonts w:ascii="游明朝" w:cs="游明朝" w:eastAsia="游明朝" w:hAnsi="游明朝"/>
          <w:color w:val="262626"/>
          <w:sz w:val="19"/>
          <w:szCs w:val="19"/>
        </w:rPr>
        <w:t xml:space="preserve">第20条　前３条に定めるもののほか、介護保険運営委員会の運営に関し必要な事項は、町長が別に定める。</w:t>
      </w:r>
    </w:p>
    <w:p>
      <w:pPr>
        <w:pBdr>
          <w:top w:val="single" w:color="C55A11" w:sz="4" w:space="4"/>
          <w:bottom w:val="single" w:color="C55A11" w:sz="4" w:space="4"/>
        </w:pBdr>
        <w:shd w:fill="FCE4D6" w:val="clear"/>
        <w:spacing w:after="120" w:before="60"/>
      </w:pPr>
      <w:r>
        <w:rPr>
          <w:rFonts w:ascii="游ゴシック" w:cs="游ゴシック" w:eastAsia="游ゴシック" w:hAnsi="游ゴシック"/>
          <w:b/>
          <w:bCs/>
          <w:color w:val="C55A11"/>
          <w:sz w:val="19"/>
          <w:szCs w:val="19"/>
        </w:rPr>
        <w:t xml:space="preserve">⚠ 第10期計画掲載時は、改正の有無を含め現行の川崎町介護保険条例と条文を照合のうえ確定する。</w:t>
      </w:r>
    </w:p>
    <w:p>
      <w:pPr>
        <w:pBdr>
          <w:top w:val="single" w:color="DEEBF7" w:sz="2" w:space="4"/>
          <w:left w:val="single" w:color="2E75B6" w:sz="20" w:space="8"/>
          <w:bottom w:val="single" w:color="DEEBF7" w:sz="2" w:space="4"/>
        </w:pBdr>
        <w:shd w:fill="DEEBF7" w:val="clear"/>
        <w:spacing w:after="140" w:before="300"/>
      </w:pPr>
      <w:r>
        <w:rPr>
          <w:rFonts w:ascii="游ゴシック" w:cs="游ゴシック" w:eastAsia="游ゴシック" w:hAnsi="游ゴシック"/>
          <w:b/>
          <w:bCs/>
          <w:color w:val="C55A11"/>
          <w:sz w:val="24"/>
          <w:szCs w:val="24"/>
        </w:rPr>
        <w:t xml:space="preserve">資料2　</w:t>
      </w:r>
      <w:r>
        <w:rPr>
          <w:rFonts w:ascii="游ゴシック" w:cs="游ゴシック" w:eastAsia="游ゴシック" w:hAnsi="游ゴシック"/>
          <w:b/>
          <w:bCs/>
          <w:color w:val="1F3864"/>
          <w:sz w:val="24"/>
          <w:szCs w:val="24"/>
        </w:rPr>
        <w:t xml:space="preserve">川崎町介護保険運営委員会規則</w:t>
      </w:r>
      <w:r>
        <w:rPr>
          <w:rFonts w:ascii="游ゴシック" w:cs="游ゴシック" w:eastAsia="游ゴシック" w:hAnsi="游ゴシック"/>
          <w:b/>
          <w:bCs/>
          <w:color w:val="548235"/>
          <w:sz w:val="18"/>
          <w:szCs w:val="18"/>
        </w:rPr>
        <w:t xml:space="preserve">　［町実績準拠］</w:t>
      </w:r>
    </w:p>
    <w:p>
      <w:pPr>
        <w:spacing w:after="120" w:line="300"/>
        <w:jc w:val="both"/>
      </w:pPr>
      <w:r>
        <w:rPr>
          <w:rFonts w:ascii="游明朝" w:cs="游明朝" w:eastAsia="游明朝" w:hAnsi="游明朝"/>
          <w:color w:val="262626"/>
          <w:sz w:val="21"/>
          <w:szCs w:val="21"/>
        </w:rPr>
        <w:t xml:space="preserve">委員会の運営に関する規則を掲載します（条例第20条に基づき町長が定めるもの）。</w:t>
      </w:r>
    </w:p>
    <w:p>
      <w:pPr>
        <w:spacing w:after="40" w:before="120"/>
      </w:pPr>
      <w:r>
        <w:rPr>
          <w:rFonts w:ascii="游ゴシック" w:cs="游ゴシック" w:eastAsia="游ゴシック" w:hAnsi="游ゴシック"/>
          <w:b/>
          <w:bCs/>
          <w:color w:val="1F3864"/>
          <w:sz w:val="20"/>
          <w:szCs w:val="20"/>
        </w:rPr>
        <w:t xml:space="preserve">（趣旨）</w:t>
      </w:r>
    </w:p>
    <w:p>
      <w:pPr>
        <w:spacing w:after="30" w:line="280"/>
      </w:pPr>
      <w:r>
        <w:rPr>
          <w:rFonts w:ascii="游明朝" w:cs="游明朝" w:eastAsia="游明朝" w:hAnsi="游明朝"/>
          <w:color w:val="262626"/>
          <w:sz w:val="19"/>
          <w:szCs w:val="19"/>
        </w:rPr>
        <w:t xml:space="preserve">第１条　川崎町介護保険運営委員会（以下「委員会」という。）の事務については、川崎町介護保険条例（平成12年川崎町条例第１号）に定めるもののほか、この規則の定めるところによる。</w:t>
      </w:r>
    </w:p>
    <w:p>
      <w:pPr>
        <w:spacing w:after="40" w:before="120"/>
      </w:pPr>
      <w:r>
        <w:rPr>
          <w:rFonts w:ascii="游ゴシック" w:cs="游ゴシック" w:eastAsia="游ゴシック" w:hAnsi="游ゴシック"/>
          <w:b/>
          <w:bCs/>
          <w:color w:val="1F3864"/>
          <w:sz w:val="20"/>
          <w:szCs w:val="20"/>
        </w:rPr>
        <w:t xml:space="preserve">（組織）</w:t>
      </w:r>
    </w:p>
    <w:p>
      <w:pPr>
        <w:spacing w:after="30" w:line="280"/>
      </w:pPr>
      <w:r>
        <w:rPr>
          <w:rFonts w:ascii="游明朝" w:cs="游明朝" w:eastAsia="游明朝" w:hAnsi="游明朝"/>
          <w:color w:val="262626"/>
          <w:sz w:val="19"/>
          <w:szCs w:val="19"/>
        </w:rPr>
        <w:t xml:space="preserve">第２条　委員会に委員長及び副委員長を各１人置き、それぞれ委員の互選により選出する。</w:t>
      </w:r>
    </w:p>
    <w:p>
      <w:pPr>
        <w:spacing w:after="30" w:line="280"/>
      </w:pPr>
      <w:r>
        <w:rPr>
          <w:rFonts w:ascii="游明朝" w:cs="游明朝" w:eastAsia="游明朝" w:hAnsi="游明朝"/>
          <w:color w:val="262626"/>
          <w:sz w:val="19"/>
          <w:szCs w:val="19"/>
        </w:rPr>
        <w:t xml:space="preserve">２　委員長は会務を総括し、委員会を代表する。</w:t>
      </w:r>
    </w:p>
    <w:p>
      <w:pPr>
        <w:spacing w:after="30" w:line="280"/>
      </w:pPr>
      <w:r>
        <w:rPr>
          <w:rFonts w:ascii="游明朝" w:cs="游明朝" w:eastAsia="游明朝" w:hAnsi="游明朝"/>
          <w:color w:val="262626"/>
          <w:sz w:val="19"/>
          <w:szCs w:val="19"/>
        </w:rPr>
        <w:t xml:space="preserve">３　副委員長は、委員長を補佐し、委員長に事故があるとき、又は委員長が欠けたときは、その職務を代理する。</w:t>
      </w:r>
    </w:p>
    <w:p>
      <w:pPr>
        <w:spacing w:after="40" w:before="120"/>
      </w:pPr>
      <w:r>
        <w:rPr>
          <w:rFonts w:ascii="游ゴシック" w:cs="游ゴシック" w:eastAsia="游ゴシック" w:hAnsi="游ゴシック"/>
          <w:b/>
          <w:bCs/>
          <w:color w:val="1F3864"/>
          <w:sz w:val="20"/>
          <w:szCs w:val="20"/>
        </w:rPr>
        <w:t xml:space="preserve">（会議）</w:t>
      </w:r>
    </w:p>
    <w:p>
      <w:pPr>
        <w:spacing w:after="30" w:line="280"/>
      </w:pPr>
      <w:r>
        <w:rPr>
          <w:rFonts w:ascii="游明朝" w:cs="游明朝" w:eastAsia="游明朝" w:hAnsi="游明朝"/>
          <w:color w:val="262626"/>
          <w:sz w:val="19"/>
          <w:szCs w:val="19"/>
        </w:rPr>
        <w:t xml:space="preserve">第３条　委員会の会議は町長が招集し、委員長が会議の議長となる。</w:t>
      </w:r>
    </w:p>
    <w:p>
      <w:pPr>
        <w:spacing w:after="30" w:line="280"/>
      </w:pPr>
      <w:r>
        <w:rPr>
          <w:rFonts w:ascii="游明朝" w:cs="游明朝" w:eastAsia="游明朝" w:hAnsi="游明朝"/>
          <w:color w:val="262626"/>
          <w:sz w:val="19"/>
          <w:szCs w:val="19"/>
        </w:rPr>
        <w:t xml:space="preserve">２　委員会は、委員の半数以上の出席がなければ会議を開くことができない。</w:t>
      </w:r>
    </w:p>
    <w:p>
      <w:pPr>
        <w:spacing w:after="30" w:line="280"/>
      </w:pPr>
      <w:r>
        <w:rPr>
          <w:rFonts w:ascii="游明朝" w:cs="游明朝" w:eastAsia="游明朝" w:hAnsi="游明朝"/>
          <w:color w:val="262626"/>
          <w:sz w:val="19"/>
          <w:szCs w:val="19"/>
        </w:rPr>
        <w:t xml:space="preserve">３　委員会の議事は、出席委員の過半数で決し、可否同数のときは、議長の決するところによる。</w:t>
      </w:r>
    </w:p>
    <w:p>
      <w:pPr>
        <w:spacing w:after="40" w:before="120"/>
      </w:pPr>
      <w:r>
        <w:rPr>
          <w:rFonts w:ascii="游ゴシック" w:cs="游ゴシック" w:eastAsia="游ゴシック" w:hAnsi="游ゴシック"/>
          <w:b/>
          <w:bCs/>
          <w:color w:val="1F3864"/>
          <w:sz w:val="20"/>
          <w:szCs w:val="20"/>
        </w:rPr>
        <w:t xml:space="preserve">（事務局）</w:t>
      </w:r>
    </w:p>
    <w:p>
      <w:pPr>
        <w:spacing w:after="30" w:line="280"/>
      </w:pPr>
      <w:r>
        <w:rPr>
          <w:rFonts w:ascii="游明朝" w:cs="游明朝" w:eastAsia="游明朝" w:hAnsi="游明朝"/>
          <w:color w:val="262626"/>
          <w:sz w:val="19"/>
          <w:szCs w:val="19"/>
        </w:rPr>
        <w:t xml:space="preserve">第４条　委員会の事務局は、保健福祉課に置く。</w:t>
      </w:r>
    </w:p>
    <w:p>
      <w:pPr>
        <w:pBdr>
          <w:top w:val="single" w:color="C55A11" w:sz="4" w:space="4"/>
          <w:bottom w:val="single" w:color="C55A11" w:sz="4" w:space="4"/>
        </w:pBdr>
        <w:shd w:fill="FCE4D6" w:val="clear"/>
        <w:spacing w:after="120" w:before="60"/>
      </w:pPr>
      <w:r>
        <w:rPr>
          <w:rFonts w:ascii="游ゴシック" w:cs="游ゴシック" w:eastAsia="游ゴシック" w:hAnsi="游ゴシック"/>
          <w:b/>
          <w:bCs/>
          <w:color w:val="C55A11"/>
          <w:sz w:val="19"/>
          <w:szCs w:val="19"/>
        </w:rPr>
        <w:t xml:space="preserve">⚠ 第10期計画掲載時は現行規則と条文を照合のうえ確定する。</w:t>
      </w:r>
    </w:p>
    <w:p>
      <w:pPr>
        <w:pBdr>
          <w:top w:val="single" w:color="DEEBF7" w:sz="2" w:space="4"/>
          <w:left w:val="single" w:color="2E75B6" w:sz="20" w:space="8"/>
          <w:bottom w:val="single" w:color="DEEBF7" w:sz="2" w:space="4"/>
        </w:pBdr>
        <w:shd w:fill="DEEBF7" w:val="clear"/>
        <w:spacing w:after="140" w:before="300"/>
      </w:pPr>
      <w:r>
        <w:rPr>
          <w:rFonts w:ascii="游ゴシック" w:cs="游ゴシック" w:eastAsia="游ゴシック" w:hAnsi="游ゴシック"/>
          <w:b/>
          <w:bCs/>
          <w:color w:val="C55A11"/>
          <w:sz w:val="24"/>
          <w:szCs w:val="24"/>
        </w:rPr>
        <w:t xml:space="preserve">資料3　</w:t>
      </w:r>
      <w:r>
        <w:rPr>
          <w:rFonts w:ascii="游ゴシック" w:cs="游ゴシック" w:eastAsia="游ゴシック" w:hAnsi="游ゴシック"/>
          <w:b/>
          <w:bCs/>
          <w:color w:val="1F3864"/>
          <w:sz w:val="24"/>
          <w:szCs w:val="24"/>
        </w:rPr>
        <w:t xml:space="preserve">川崎町介護保険運営委員会 委員名簿</w:t>
      </w:r>
      <w:r>
        <w:rPr>
          <w:rFonts w:ascii="游ゴシック" w:cs="游ゴシック" w:eastAsia="游ゴシック" w:hAnsi="游ゴシック"/>
          <w:b/>
          <w:bCs/>
          <w:color w:val="C55A11"/>
          <w:sz w:val="18"/>
          <w:szCs w:val="18"/>
        </w:rPr>
        <w:t xml:space="preserve">　［委嘱後記入］</w:t>
      </w:r>
    </w:p>
    <w:p>
      <w:pPr>
        <w:spacing w:after="120" w:line="300"/>
        <w:jc w:val="both"/>
      </w:pPr>
      <w:r>
        <w:rPr>
          <w:rFonts w:ascii="游明朝" w:cs="游明朝" w:eastAsia="游明朝" w:hAnsi="游明朝"/>
          <w:b w:val="false"/>
          <w:bCs w:val="false"/>
          <w:i w:val="false"/>
          <w:iCs w:val="false"/>
          <w:color w:val="262626"/>
          <w:sz w:val="21"/>
          <w:szCs w:val="21"/>
        </w:rPr>
        <w:t xml:space="preserve">条例第19条に基づき、委員８人以内（被保険者代表３人・学識経験２人・介護サービス事業従事者３人）で組織します。第10期委員の氏名・役職は委嘱確定後に記入します。</w:t>
      </w:r>
      <w:r>
        <w:rPr>
          <w:rFonts w:ascii="游明朝" w:cs="游明朝" w:eastAsia="游明朝" w:hAnsi="游明朝"/>
          <w:b w:val="false"/>
          <w:bCs w:val="false"/>
          <w:i/>
          <w:iCs/>
          <w:color w:val="808080"/>
          <w:sz w:val="21"/>
          <w:szCs w:val="21"/>
        </w:rPr>
        <w:t xml:space="preserve">（参考：第9期は６名で構成）</w:t>
      </w:r>
    </w:p>
    <w:p>
      <w:pPr>
        <w:spacing w:after="40" w:before="60"/>
      </w:pPr>
      <w:r>
        <w:rPr>
          <w:rFonts w:ascii="游ゴシック" w:cs="游ゴシック" w:eastAsia="游ゴシック" w:hAnsi="游ゴシック"/>
          <w:b/>
          <w:bCs/>
          <w:color w:val="1F3864"/>
          <w:sz w:val="20"/>
          <w:szCs w:val="20"/>
        </w:rPr>
        <w:t xml:space="preserve">表　委員名簿（第10期・様式）</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2900"/>
        <w:gridCol w:w="3760"/>
        <w:gridCol w:w="1700"/>
      </w:tblGrid>
      <w:tr>
        <w:trPr>
          <w:tblHeader/>
        </w:trPr>
        <w:tc>
          <w:tcPr>
            <w:tcW w:type="dxa" w:w="7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No</w:t>
            </w:r>
          </w:p>
        </w:tc>
        <w:tc>
          <w:tcPr>
            <w:tcW w:type="dxa" w:w="7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資格
要件</w:t>
            </w:r>
          </w:p>
        </w:tc>
        <w:tc>
          <w:tcPr>
            <w:tcW w:type="dxa" w:w="29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委員名</w:t>
            </w:r>
          </w:p>
        </w:tc>
        <w:tc>
          <w:tcPr>
            <w:tcW w:type="dxa" w:w="376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役職名</w:t>
            </w:r>
          </w:p>
        </w:tc>
        <w:tc>
          <w:tcPr>
            <w:tcW w:type="dxa" w:w="17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備考</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1</w:t>
            </w:r>
          </w:p>
        </w:tc>
        <w:tc>
          <w:tcPr>
            <w:tcBorders>
              <w:top w:val="single" w:color="808080" w:sz="4"/>
              <w:left w:val="single" w:color="808080" w:sz="4"/>
              <w:bottom w:val="single" w:color="808080" w:sz="4"/>
              <w:right w:val="single" w:color="808080" w:sz="4"/>
            </w:tcBorders>
            <w:shd w:fill="DEEBF7"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１</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808080"/>
                <w:sz w:val="19"/>
                <w:szCs w:val="19"/>
              </w:rPr>
              <w:t xml:space="preserve">（委嘱後記入）</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color w:val="808080"/>
                <w:sz w:val="18"/>
                <w:szCs w:val="18"/>
              </w:rPr>
              <w:t xml:space="preserve">（委嘱後記入）　</w:t>
            </w:r>
            <w:r>
              <w:rPr>
                <w:rFonts w:ascii="游明朝" w:cs="游明朝" w:eastAsia="游明朝" w:hAnsi="游明朝"/>
                <w:color w:val="2E75B6"/>
                <w:sz w:val="16"/>
                <w:szCs w:val="16"/>
              </w:rPr>
              <w:t xml:space="preserve">〔区分：被保険者代表〕</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2</w:t>
            </w:r>
          </w:p>
        </w:tc>
        <w:tc>
          <w:tcPr>
            <w:tcBorders>
              <w:top w:val="single" w:color="808080" w:sz="4"/>
              <w:left w:val="single" w:color="808080" w:sz="4"/>
              <w:bottom w:val="single" w:color="808080" w:sz="4"/>
              <w:right w:val="single" w:color="808080" w:sz="4"/>
            </w:tcBorders>
            <w:shd w:fill="DEEBF7"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１</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808080"/>
                <w:sz w:val="19"/>
                <w:szCs w:val="19"/>
              </w:rPr>
              <w:t xml:space="preserve">（委嘱後記入）</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color w:val="808080"/>
                <w:sz w:val="18"/>
                <w:szCs w:val="18"/>
              </w:rPr>
              <w:t xml:space="preserve">（委嘱後記入）　</w:t>
            </w:r>
            <w:r>
              <w:rPr>
                <w:rFonts w:ascii="游明朝" w:cs="游明朝" w:eastAsia="游明朝" w:hAnsi="游明朝"/>
                <w:color w:val="2E75B6"/>
                <w:sz w:val="16"/>
                <w:szCs w:val="16"/>
              </w:rPr>
              <w:t xml:space="preserve">〔区分：被保険者代表〕</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3</w:t>
            </w:r>
          </w:p>
        </w:tc>
        <w:tc>
          <w:tcPr>
            <w:tcBorders>
              <w:top w:val="single" w:color="808080" w:sz="4"/>
              <w:left w:val="single" w:color="808080" w:sz="4"/>
              <w:bottom w:val="single" w:color="808080" w:sz="4"/>
              <w:right w:val="single" w:color="808080" w:sz="4"/>
            </w:tcBorders>
            <w:shd w:fill="DEEBF7"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１</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808080"/>
                <w:sz w:val="19"/>
                <w:szCs w:val="19"/>
              </w:rPr>
              <w:t xml:space="preserve">（委嘱後記入）</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color w:val="808080"/>
                <w:sz w:val="18"/>
                <w:szCs w:val="18"/>
              </w:rPr>
              <w:t xml:space="preserve">（委嘱後記入）　</w:t>
            </w:r>
            <w:r>
              <w:rPr>
                <w:rFonts w:ascii="游明朝" w:cs="游明朝" w:eastAsia="游明朝" w:hAnsi="游明朝"/>
                <w:color w:val="2E75B6"/>
                <w:sz w:val="16"/>
                <w:szCs w:val="16"/>
              </w:rPr>
              <w:t xml:space="preserve">〔区分：被保険者代表〕</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4</w:t>
            </w:r>
          </w:p>
        </w:tc>
        <w:tc>
          <w:tcPr>
            <w:tcBorders>
              <w:top w:val="single" w:color="808080" w:sz="4"/>
              <w:left w:val="single" w:color="808080" w:sz="4"/>
              <w:bottom w:val="single" w:color="808080" w:sz="4"/>
              <w:right w:val="single" w:color="808080" w:sz="4"/>
            </w:tcBorders>
            <w:shd w:fill="DEEBF7"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２</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808080"/>
                <w:sz w:val="19"/>
                <w:szCs w:val="19"/>
              </w:rPr>
              <w:t xml:space="preserve">（委嘱後記入）</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color w:val="808080"/>
                <w:sz w:val="18"/>
                <w:szCs w:val="18"/>
              </w:rPr>
              <w:t xml:space="preserve">（委嘱後記入）　</w:t>
            </w:r>
            <w:r>
              <w:rPr>
                <w:rFonts w:ascii="游明朝" w:cs="游明朝" w:eastAsia="游明朝" w:hAnsi="游明朝"/>
                <w:color w:val="2E75B6"/>
                <w:sz w:val="16"/>
                <w:szCs w:val="16"/>
              </w:rPr>
              <w:t xml:space="preserve">〔区分：学識経験〕</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5</w:t>
            </w:r>
          </w:p>
        </w:tc>
        <w:tc>
          <w:tcPr>
            <w:tcBorders>
              <w:top w:val="single" w:color="808080" w:sz="4"/>
              <w:left w:val="single" w:color="808080" w:sz="4"/>
              <w:bottom w:val="single" w:color="808080" w:sz="4"/>
              <w:right w:val="single" w:color="808080" w:sz="4"/>
            </w:tcBorders>
            <w:shd w:fill="DEEBF7"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２</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808080"/>
                <w:sz w:val="19"/>
                <w:szCs w:val="19"/>
              </w:rPr>
              <w:t xml:space="preserve">（委嘱後記入）</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color w:val="808080"/>
                <w:sz w:val="18"/>
                <w:szCs w:val="18"/>
              </w:rPr>
              <w:t xml:space="preserve">（委嘱後記入）　</w:t>
            </w:r>
            <w:r>
              <w:rPr>
                <w:rFonts w:ascii="游明朝" w:cs="游明朝" w:eastAsia="游明朝" w:hAnsi="游明朝"/>
                <w:color w:val="2E75B6"/>
                <w:sz w:val="16"/>
                <w:szCs w:val="16"/>
              </w:rPr>
              <w:t xml:space="preserve">〔区分：学識経験〕</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6</w:t>
            </w:r>
          </w:p>
        </w:tc>
        <w:tc>
          <w:tcPr>
            <w:tcBorders>
              <w:top w:val="single" w:color="808080" w:sz="4"/>
              <w:left w:val="single" w:color="808080" w:sz="4"/>
              <w:bottom w:val="single" w:color="808080" w:sz="4"/>
              <w:right w:val="single" w:color="808080" w:sz="4"/>
            </w:tcBorders>
            <w:shd w:fill="DEEBF7"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３</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808080"/>
                <w:sz w:val="19"/>
                <w:szCs w:val="19"/>
              </w:rPr>
              <w:t xml:space="preserve">（委嘱後記入）</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color w:val="808080"/>
                <w:sz w:val="18"/>
                <w:szCs w:val="18"/>
              </w:rPr>
              <w:t xml:space="preserve">（委嘱後記入）　</w:t>
            </w:r>
            <w:r>
              <w:rPr>
                <w:rFonts w:ascii="游明朝" w:cs="游明朝" w:eastAsia="游明朝" w:hAnsi="游明朝"/>
                <w:color w:val="2E75B6"/>
                <w:sz w:val="16"/>
                <w:szCs w:val="16"/>
              </w:rPr>
              <w:t xml:space="preserve">〔区分：介護サービス事業従事者〕</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7</w:t>
            </w:r>
          </w:p>
        </w:tc>
        <w:tc>
          <w:tcPr>
            <w:tcBorders>
              <w:top w:val="single" w:color="808080" w:sz="4"/>
              <w:left w:val="single" w:color="808080" w:sz="4"/>
              <w:bottom w:val="single" w:color="808080" w:sz="4"/>
              <w:right w:val="single" w:color="808080" w:sz="4"/>
            </w:tcBorders>
            <w:shd w:fill="DEEBF7"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３</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808080"/>
                <w:sz w:val="19"/>
                <w:szCs w:val="19"/>
              </w:rPr>
              <w:t xml:space="preserve">（委嘱後記入）</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color w:val="808080"/>
                <w:sz w:val="18"/>
                <w:szCs w:val="18"/>
              </w:rPr>
              <w:t xml:space="preserve">（委嘱後記入）　</w:t>
            </w:r>
            <w:r>
              <w:rPr>
                <w:rFonts w:ascii="游明朝" w:cs="游明朝" w:eastAsia="游明朝" w:hAnsi="游明朝"/>
                <w:color w:val="2E75B6"/>
                <w:sz w:val="16"/>
                <w:szCs w:val="16"/>
              </w:rPr>
              <w:t xml:space="preserve">〔区分：介護サービス事業従事者〕</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8</w:t>
            </w:r>
          </w:p>
        </w:tc>
        <w:tc>
          <w:tcPr>
            <w:tcBorders>
              <w:top w:val="single" w:color="808080" w:sz="4"/>
              <w:left w:val="single" w:color="808080" w:sz="4"/>
              <w:bottom w:val="single" w:color="808080" w:sz="4"/>
              <w:right w:val="single" w:color="808080" w:sz="4"/>
            </w:tcBorders>
            <w:shd w:fill="DEEBF7"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３</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808080"/>
                <w:sz w:val="19"/>
                <w:szCs w:val="19"/>
              </w:rPr>
              <w:t xml:space="preserve">（委嘱後記入）</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color w:val="808080"/>
                <w:sz w:val="18"/>
                <w:szCs w:val="18"/>
              </w:rPr>
              <w:t xml:space="preserve">（委嘱後記入）　</w:t>
            </w:r>
            <w:r>
              <w:rPr>
                <w:rFonts w:ascii="游明朝" w:cs="游明朝" w:eastAsia="游明朝" w:hAnsi="游明朝"/>
                <w:color w:val="2E75B6"/>
                <w:sz w:val="16"/>
                <w:szCs w:val="16"/>
              </w:rPr>
              <w:t xml:space="preserve">〔区分：介護サービス事業従事者〕</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
            </w:r>
          </w:p>
        </w:tc>
      </w:tr>
    </w:tbl>
    <w:p>
      <w:pPr>
        <w:spacing w:after="120"/>
      </w:pPr>
      <w:r>
        <w:rPr>
          <w:rFonts w:ascii="游明朝" w:cs="游明朝" w:eastAsia="游明朝" w:hAnsi="游明朝"/>
          <w:i/>
          <w:iCs/>
          <w:color w:val="808080"/>
          <w:sz w:val="17"/>
          <w:szCs w:val="17"/>
        </w:rPr>
        <w:t xml:space="preserve">※ 資格要件欄は介護保険条例第19条第２項の区分（(1)＝１、(2)＝２、(3)＝３）を表す。委員数は８人以内のため、定数の範囲で委嘱（第9期は６名）。委員長・副委員長は委員の互選（規則第２条）。</w:t>
      </w:r>
    </w:p>
    <w:p>
      <w:pPr>
        <w:pBdr>
          <w:top w:val="single" w:color="C55A11" w:sz="4" w:space="4"/>
          <w:bottom w:val="single" w:color="C55A11" w:sz="4" w:space="4"/>
        </w:pBdr>
        <w:shd w:fill="FCE4D6" w:val="clear"/>
        <w:spacing w:after="120" w:before="60"/>
      </w:pPr>
      <w:r>
        <w:rPr>
          <w:rFonts w:ascii="游ゴシック" w:cs="游ゴシック" w:eastAsia="游ゴシック" w:hAnsi="游ゴシック"/>
          <w:b/>
          <w:bCs/>
          <w:color w:val="C55A11"/>
          <w:sz w:val="19"/>
          <w:szCs w:val="19"/>
        </w:rPr>
        <w:t xml:space="preserve">⚠ 委員名簿（氏名・役職・委員長/副委員長）は第10期委員の委嘱確定後に町担当課より入手して反映する。</w:t>
      </w:r>
    </w:p>
    <w:p>
      <w:r>
        <w:br w:type="page"/>
      </w:r>
    </w:p>
    <w:p>
      <w:pPr>
        <w:pBdr>
          <w:top w:val="single" w:color="DEEBF7" w:sz="2" w:space="4"/>
          <w:left w:val="single" w:color="2E75B6" w:sz="20" w:space="8"/>
          <w:bottom w:val="single" w:color="DEEBF7" w:sz="2" w:space="4"/>
        </w:pBdr>
        <w:shd w:fill="DEEBF7" w:val="clear"/>
        <w:spacing w:after="140" w:before="300"/>
      </w:pPr>
      <w:r>
        <w:rPr>
          <w:rFonts w:ascii="游ゴシック" w:cs="游ゴシック" w:eastAsia="游ゴシック" w:hAnsi="游ゴシック"/>
          <w:b/>
          <w:bCs/>
          <w:color w:val="C55A11"/>
          <w:sz w:val="24"/>
          <w:szCs w:val="24"/>
        </w:rPr>
        <w:t xml:space="preserve">資料4　</w:t>
      </w:r>
      <w:r>
        <w:rPr>
          <w:rFonts w:ascii="游ゴシック" w:cs="游ゴシック" w:eastAsia="游ゴシック" w:hAnsi="游ゴシック"/>
          <w:b/>
          <w:bCs/>
          <w:color w:val="1F3864"/>
          <w:sz w:val="24"/>
          <w:szCs w:val="24"/>
        </w:rPr>
        <w:t xml:space="preserve">策定経過の概要</w:t>
      </w:r>
      <w:r>
        <w:rPr>
          <w:rFonts w:ascii="游ゴシック" w:cs="游ゴシック" w:eastAsia="游ゴシック" w:hAnsi="游ゴシック"/>
          <w:b/>
          <w:bCs/>
          <w:color w:val="C55A11"/>
          <w:sz w:val="18"/>
          <w:szCs w:val="18"/>
        </w:rPr>
        <w:t xml:space="preserve">　［策定完了後確定］</w:t>
      </w:r>
    </w:p>
    <w:p>
      <w:pPr>
        <w:spacing w:after="120" w:line="300"/>
        <w:jc w:val="both"/>
      </w:pPr>
      <w:r>
        <w:rPr>
          <w:rFonts w:ascii="游明朝" w:cs="游明朝" w:eastAsia="游明朝" w:hAnsi="游明朝"/>
          <w:color w:val="262626"/>
          <w:sz w:val="21"/>
          <w:szCs w:val="21"/>
        </w:rPr>
        <w:t xml:space="preserve">前回（第9期）資料編の様式に準拠し、調査の実施・各回委員会・諮問答申・パブリックコメント・議会手続を時系列で掲載します。以下は第10期の予定であり、確定日・書面/対面の別は実施後に確定します。</w:t>
      </w:r>
    </w:p>
    <w:p>
      <w:pPr>
        <w:spacing w:after="40" w:before="60"/>
      </w:pPr>
      <w:r>
        <w:rPr>
          <w:rFonts w:ascii="游ゴシック" w:cs="游ゴシック" w:eastAsia="游ゴシック" w:hAnsi="游ゴシック"/>
          <w:b/>
          <w:bCs/>
          <w:color w:val="1F3864"/>
          <w:sz w:val="20"/>
          <w:szCs w:val="20"/>
        </w:rPr>
        <w:t xml:space="preserve">表　策定経過（第10期・予定）</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6960"/>
      </w:tblGrid>
      <w:tr>
        <w:trPr>
          <w:tblHeader/>
        </w:trPr>
        <w:tc>
          <w:tcPr>
            <w:tcW w:type="dxa" w:w="26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開催日（予定）</w:t>
            </w:r>
          </w:p>
        </w:tc>
        <w:tc>
          <w:tcPr>
            <w:tcW w:type="dxa" w:w="696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内容等</w:t>
            </w:r>
          </w:p>
        </w:tc>
      </w:tr>
      <w:tr>
        <w:tc>
          <w:tcPr>
            <w:tcBorders>
              <w:top w:val="single" w:color="808080" w:sz="4"/>
              <w:left w:val="single" w:color="808080" w:sz="4"/>
              <w:bottom w:val="single" w:color="808080" w:sz="4"/>
              <w:right w:val="single" w:color="808080" w:sz="4"/>
            </w:tcBorders>
            <w:shd w:fill="DEEBF7"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令和8年6月</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bCs/>
                <w:i w:val="false"/>
                <w:iCs w:val="false"/>
                <w:color w:val="262626"/>
                <w:sz w:val="21"/>
                <w:szCs w:val="21"/>
              </w:rPr>
              <w:t xml:space="preserve">日常生活圏域ニーズ調査及び在宅介護実態調査の実施</w:t>
            </w:r>
            <w:r>
              <w:rPr>
                <w:rFonts w:ascii="游明朝" w:cs="游明朝" w:eastAsia="游明朝" w:hAnsi="游明朝"/>
                <w:b w:val="false"/>
                <w:bCs w:val="false"/>
                <w:i w:val="false"/>
                <w:iCs w:val="false"/>
                <w:color w:val="262626"/>
                <w:sz w:val="18"/>
                <w:szCs w:val="18"/>
              </w:rPr>
              <w:t xml:space="preserve">
対象：①川崎町在住の高齢者（65歳以上の要介護認定を受けていない高齢者、要支援認定者）：1,000人　②川崎町在住の要介護認定（要介護1〜5）を受け、在宅で暮らしている方：300人</w:t>
            </w:r>
          </w:p>
        </w:tc>
      </w:tr>
      <w:tr>
        <w:tc>
          <w:tcPr>
            <w:tcBorders>
              <w:top w:val="single" w:color="808080" w:sz="4"/>
              <w:left w:val="single" w:color="808080" w:sz="4"/>
              <w:bottom w:val="single" w:color="808080" w:sz="4"/>
              <w:right w:val="single" w:color="808080" w:sz="4"/>
            </w:tcBorders>
            <w:shd w:fill="DEEBF7"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令和8年8月中旬</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bCs/>
                <w:i w:val="false"/>
                <w:iCs w:val="false"/>
                <w:color w:val="262626"/>
                <w:sz w:val="21"/>
                <w:szCs w:val="21"/>
              </w:rPr>
              <w:t xml:space="preserve">第1回川崎町介護保険運営委員会</w:t>
            </w:r>
            <w:r>
              <w:rPr>
                <w:rFonts w:ascii="游明朝" w:cs="游明朝" w:eastAsia="游明朝" w:hAnsi="游明朝"/>
                <w:b w:val="false"/>
                <w:bCs w:val="false"/>
                <w:i w:val="false"/>
                <w:iCs w:val="false"/>
                <w:color w:val="262626"/>
                <w:sz w:val="18"/>
                <w:szCs w:val="18"/>
              </w:rPr>
              <w:t xml:space="preserve">
・川崎町介護保険事業の現状と評価について　・第10期計画の策定について（諮問）　・ニーズ調査等の結果報告</w:t>
            </w:r>
          </w:p>
        </w:tc>
      </w:tr>
      <w:tr>
        <w:tc>
          <w:tcPr>
            <w:tcBorders>
              <w:top w:val="single" w:color="808080" w:sz="4"/>
              <w:left w:val="single" w:color="808080" w:sz="4"/>
              <w:bottom w:val="single" w:color="808080" w:sz="4"/>
              <w:right w:val="single" w:color="808080" w:sz="4"/>
            </w:tcBorders>
            <w:shd w:fill="DEEBF7"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令和8年11月</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bCs/>
                <w:i w:val="false"/>
                <w:iCs w:val="false"/>
                <w:color w:val="262626"/>
                <w:sz w:val="21"/>
                <w:szCs w:val="21"/>
              </w:rPr>
              <w:t xml:space="preserve">第2回川崎町介護保険運営委員会</w:t>
            </w:r>
            <w:r>
              <w:rPr>
                <w:rFonts w:ascii="游明朝" w:cs="游明朝" w:eastAsia="游明朝" w:hAnsi="游明朝"/>
                <w:b w:val="false"/>
                <w:bCs w:val="false"/>
                <w:i w:val="false"/>
                <w:iCs w:val="false"/>
                <w:color w:val="262626"/>
                <w:sz w:val="18"/>
                <w:szCs w:val="18"/>
              </w:rPr>
              <w:t xml:space="preserve">
・調査結果を踏まえた骨子案　・サービス見込量　・計画案（Ver.2.0）について</w:t>
            </w:r>
          </w:p>
        </w:tc>
      </w:tr>
      <w:tr>
        <w:tc>
          <w:tcPr>
            <w:tcBorders>
              <w:top w:val="single" w:color="808080" w:sz="4"/>
              <w:left w:val="single" w:color="808080" w:sz="4"/>
              <w:bottom w:val="single" w:color="808080" w:sz="4"/>
              <w:right w:val="single" w:color="808080" w:sz="4"/>
            </w:tcBorders>
            <w:shd w:fill="DEEBF7"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令和9年1月中旬</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bCs/>
                <w:i w:val="false"/>
                <w:iCs w:val="false"/>
                <w:color w:val="262626"/>
                <w:sz w:val="21"/>
                <w:szCs w:val="21"/>
              </w:rPr>
              <w:t xml:space="preserve">第3回川崎町介護保険運営委員会</w:t>
            </w:r>
            <w:r>
              <w:rPr>
                <w:rFonts w:ascii="游明朝" w:cs="游明朝" w:eastAsia="游明朝" w:hAnsi="游明朝"/>
                <w:b w:val="false"/>
                <w:bCs w:val="false"/>
                <w:i w:val="false"/>
                <w:iCs w:val="false"/>
                <w:color w:val="262626"/>
                <w:sz w:val="18"/>
                <w:szCs w:val="18"/>
              </w:rPr>
              <w:t xml:space="preserve">
・計画案について　・第1号保険料の試算（3パターン）について</w:t>
            </w:r>
          </w:p>
        </w:tc>
      </w:tr>
      <w:tr>
        <w:tc>
          <w:tcPr>
            <w:tcBorders>
              <w:top w:val="single" w:color="808080" w:sz="4"/>
              <w:left w:val="single" w:color="808080" w:sz="4"/>
              <w:bottom w:val="single" w:color="808080" w:sz="4"/>
              <w:right w:val="single" w:color="808080" w:sz="4"/>
            </w:tcBorders>
            <w:shd w:fill="DEEBF7"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令和9年1月下旬
〜2月</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bCs/>
                <w:i w:val="false"/>
                <w:iCs w:val="false"/>
                <w:color w:val="262626"/>
                <w:sz w:val="21"/>
                <w:szCs w:val="21"/>
              </w:rPr>
              <w:t xml:space="preserve">パブリックコメントの実施</w:t>
            </w:r>
            <w:r>
              <w:rPr>
                <w:rFonts w:ascii="游明朝" w:cs="游明朝" w:eastAsia="游明朝" w:hAnsi="游明朝"/>
                <w:b w:val="false"/>
                <w:bCs w:val="false"/>
                <w:i w:val="false"/>
                <w:iCs w:val="false"/>
                <w:color w:val="262626"/>
                <w:sz w:val="18"/>
                <w:szCs w:val="18"/>
              </w:rPr>
              <w:t xml:space="preserve">
（川崎町ホームページ・保健福祉課窓口）</w:t>
            </w:r>
          </w:p>
        </w:tc>
      </w:tr>
      <w:tr>
        <w:tc>
          <w:tcPr>
            <w:tcBorders>
              <w:top w:val="single" w:color="808080" w:sz="4"/>
              <w:left w:val="single" w:color="808080" w:sz="4"/>
              <w:bottom w:val="single" w:color="808080" w:sz="4"/>
              <w:right w:val="single" w:color="808080" w:sz="4"/>
            </w:tcBorders>
            <w:shd w:fill="DEEBF7"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令和9年2月</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bCs/>
                <w:i w:val="false"/>
                <w:iCs w:val="false"/>
                <w:color w:val="262626"/>
                <w:sz w:val="21"/>
                <w:szCs w:val="21"/>
              </w:rPr>
              <w:t xml:space="preserve">第4回川崎町介護保険運営委員会</w:t>
            </w:r>
            <w:r>
              <w:rPr>
                <w:rFonts w:ascii="游明朝" w:cs="游明朝" w:eastAsia="游明朝" w:hAnsi="游明朝"/>
                <w:b w:val="false"/>
                <w:bCs w:val="false"/>
                <w:i w:val="false"/>
                <w:iCs w:val="false"/>
                <w:color w:val="262626"/>
                <w:sz w:val="18"/>
                <w:szCs w:val="18"/>
              </w:rPr>
              <w:t xml:space="preserve">
・パブリックコメントの結果について　・答申書（案）について　・保険料基準額の決定</w:t>
            </w:r>
          </w:p>
        </w:tc>
      </w:tr>
      <w:tr>
        <w:tc>
          <w:tcPr>
            <w:tcBorders>
              <w:top w:val="single" w:color="808080" w:sz="4"/>
              <w:left w:val="single" w:color="808080" w:sz="4"/>
              <w:bottom w:val="single" w:color="808080" w:sz="4"/>
              <w:right w:val="single" w:color="808080" w:sz="4"/>
            </w:tcBorders>
            <w:shd w:fill="DEEBF7"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令和9年2月</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bCs/>
                <w:i w:val="false"/>
                <w:iCs w:val="false"/>
                <w:color w:val="262626"/>
                <w:sz w:val="21"/>
                <w:szCs w:val="21"/>
              </w:rPr>
              <w:t xml:space="preserve">議会への事前説明・答申</w:t>
            </w:r>
            <w:r>
              <w:rPr>
                <w:rFonts w:ascii="游明朝" w:cs="游明朝" w:eastAsia="游明朝" w:hAnsi="游明朝"/>
                <w:b w:val="false"/>
                <w:bCs w:val="false"/>
                <w:i w:val="false"/>
                <w:iCs w:val="false"/>
                <w:color w:val="262626"/>
                <w:sz w:val="18"/>
                <w:szCs w:val="18"/>
              </w:rPr>
              <w:t xml:space="preserve">
・総務民生常任委員会で事前説明　・介護保険運営委員会より答申書の提出　・議会全員協議会説明</w:t>
            </w:r>
          </w:p>
        </w:tc>
      </w:tr>
      <w:tr>
        <w:tc>
          <w:tcPr>
            <w:tcBorders>
              <w:top w:val="single" w:color="808080" w:sz="4"/>
              <w:left w:val="single" w:color="808080" w:sz="4"/>
              <w:bottom w:val="single" w:color="808080" w:sz="4"/>
              <w:right w:val="single" w:color="808080" w:sz="4"/>
            </w:tcBorders>
            <w:shd w:fill="DEEBF7" w:val="clear"/>
            <w:tcMar>
              <w:top w:type="dxa" w:w="60"/>
              <w:left w:type="dxa" w:w="110"/>
              <w:bottom w:type="dxa" w:w="60"/>
              <w:right w:type="dxa" w:w="110"/>
            </w:tcMar>
            <w:vAlign w:val="center"/>
          </w:tcPr>
          <w:p>
            <w:pPr>
              <w:jc w:val="center"/>
            </w:pPr>
            <w:r>
              <w:rPr>
                <w:rFonts w:ascii="游明朝" w:cs="游明朝" w:eastAsia="游明朝" w:hAnsi="游明朝"/>
                <w:b/>
                <w:bCs/>
                <w:color w:val="262626"/>
                <w:sz w:val="19"/>
                <w:szCs w:val="19"/>
              </w:rPr>
              <w:t xml:space="preserve">令和9年3月</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bCs/>
                <w:i w:val="false"/>
                <w:iCs w:val="false"/>
                <w:color w:val="262626"/>
                <w:sz w:val="21"/>
                <w:szCs w:val="21"/>
              </w:rPr>
              <w:t xml:space="preserve">川崎町議会定例会</w:t>
            </w:r>
            <w:r>
              <w:rPr>
                <w:rFonts w:ascii="游明朝" w:cs="游明朝" w:eastAsia="游明朝" w:hAnsi="游明朝"/>
                <w:b w:val="false"/>
                <w:bCs w:val="false"/>
                <w:i w:val="false"/>
                <w:iCs w:val="false"/>
                <w:color w:val="262626"/>
                <w:sz w:val="18"/>
                <w:szCs w:val="18"/>
              </w:rPr>
              <w:t xml:space="preserve">
・第10期計画及び介護保険条例改正案について　・計画の公表</w:t>
            </w:r>
          </w:p>
        </w:tc>
      </w:tr>
    </w:tbl>
    <w:p>
      <w:pPr>
        <w:pBdr>
          <w:top w:val="single" w:color="C55A11" w:sz="4" w:space="4"/>
          <w:bottom w:val="single" w:color="C55A11" w:sz="4" w:space="4"/>
        </w:pBdr>
        <w:shd w:fill="FCE4D6" w:val="clear"/>
        <w:spacing w:after="120" w:before="60"/>
      </w:pPr>
      <w:r>
        <w:rPr>
          <w:rFonts w:ascii="游ゴシック" w:cs="游ゴシック" w:eastAsia="游ゴシック" w:hAnsi="游ゴシック"/>
          <w:b/>
          <w:bCs/>
          <w:color w:val="C55A11"/>
          <w:sz w:val="19"/>
          <w:szCs w:val="19"/>
        </w:rPr>
        <w:t xml:space="preserve">⚠ 各回の正確な開催日・出席状況・書面/対面の別・主な意見は、開催後に確定して追記する。回数・項目構成は前回（第9期）実績に準拠した予定であり、実際の運営に合わせて調整する。</w:t>
      </w:r>
    </w:p>
    <w:p>
      <w:r>
        <w:br w:type="page"/>
      </w:r>
    </w:p>
    <w:p>
      <w:pPr>
        <w:pBdr>
          <w:top w:val="single" w:color="1F3864" w:sz="2" w:space="6"/>
          <w:bottom w:val="single" w:color="1F3864" w:sz="2" w:space="6"/>
        </w:pBdr>
        <w:shd w:fill="1F3864" w:val="clear"/>
        <w:spacing w:after="160" w:before="320"/>
      </w:pPr>
      <w:r>
        <w:rPr>
          <w:rFonts w:ascii="游ゴシック" w:cs="游ゴシック" w:eastAsia="游ゴシック" w:hAnsi="游ゴシック"/>
          <w:b/>
          <w:bCs/>
          <w:color w:val="FFC000"/>
          <w:sz w:val="26"/>
          <w:szCs w:val="26"/>
        </w:rPr>
        <w:t xml:space="preserve">  追加提案  </w:t>
      </w:r>
      <w:r>
        <w:rPr>
          <w:rFonts w:ascii="游ゴシック" w:cs="游ゴシック" w:eastAsia="游ゴシック" w:hAnsi="游ゴシック"/>
          <w:b/>
          <w:bCs/>
          <w:color w:val="FFFFFF"/>
          <w:sz w:val="26"/>
          <w:szCs w:val="26"/>
        </w:rPr>
        <w:t xml:space="preserve">住民利便のための任意追加資料</w:t>
      </w:r>
    </w:p>
    <w:p>
      <w:pPr>
        <w:pBdr>
          <w:top w:val="single" w:color="7030A0" w:sz="4" w:space="4"/>
          <w:bottom w:val="single" w:color="7030A0" w:sz="4" w:space="4"/>
        </w:pBdr>
        <w:shd w:fill="E9DFF2" w:val="clear"/>
        <w:spacing w:after="120" w:before="60"/>
      </w:pPr>
      <w:r>
        <w:rPr>
          <w:rFonts w:ascii="游ゴシック" w:cs="游ゴシック" w:eastAsia="游ゴシック" w:hAnsi="游ゴシック"/>
          <w:b/>
          <w:bCs/>
          <w:color w:val="7030A0"/>
          <w:sz w:val="19"/>
          <w:szCs w:val="19"/>
        </w:rPr>
        <w:t xml:space="preserve">◆ 資料5・資料6は前回（第9期）資料編には無い項目です。住民・委員が計画書を読む際の参照利便を高めるため、追加を提案するものです。採否は町・委員会でご判断ください（前回どおりの簡素な構成とする場合は、本2資料を除いて資料1〜4のみで完結します）。</w:t>
      </w:r>
    </w:p>
    <w:p>
      <w:pPr>
        <w:pBdr>
          <w:top w:val="single" w:color="DEEBF7" w:sz="2" w:space="4"/>
          <w:left w:val="single" w:color="2E75B6" w:sz="20" w:space="8"/>
          <w:bottom w:val="single" w:color="DEEBF7" w:sz="2" w:space="4"/>
        </w:pBdr>
        <w:shd w:fill="DEEBF7" w:val="clear"/>
        <w:spacing w:after="140" w:before="300"/>
      </w:pPr>
      <w:r>
        <w:rPr>
          <w:rFonts w:ascii="游ゴシック" w:cs="游ゴシック" w:eastAsia="游ゴシック" w:hAnsi="游ゴシック"/>
          <w:b/>
          <w:bCs/>
          <w:color w:val="C55A11"/>
          <w:sz w:val="24"/>
          <w:szCs w:val="24"/>
        </w:rPr>
        <w:t xml:space="preserve">資料5　</w:t>
      </w:r>
      <w:r>
        <w:rPr>
          <w:rFonts w:ascii="游ゴシック" w:cs="游ゴシック" w:eastAsia="游ゴシック" w:hAnsi="游ゴシック"/>
          <w:b/>
          <w:bCs/>
          <w:color w:val="1F3864"/>
          <w:sz w:val="24"/>
          <w:szCs w:val="24"/>
        </w:rPr>
        <w:t xml:space="preserve">用語の解説</w:t>
      </w:r>
      <w:r>
        <w:rPr>
          <w:rFonts w:ascii="游ゴシック" w:cs="游ゴシック" w:eastAsia="游ゴシック" w:hAnsi="游ゴシック"/>
          <w:b/>
          <w:bCs/>
          <w:color w:val="7030A0"/>
          <w:sz w:val="18"/>
          <w:szCs w:val="18"/>
        </w:rPr>
        <w:t xml:space="preserve">　［新規提案（任意）］</w:t>
      </w:r>
    </w:p>
    <w:p>
      <w:pPr>
        <w:spacing w:after="120" w:line="300"/>
        <w:jc w:val="both"/>
      </w:pPr>
      <w:r>
        <w:rPr>
          <w:rFonts w:ascii="游明朝" w:cs="游明朝" w:eastAsia="游明朝" w:hAnsi="游明朝"/>
          <w:color w:val="262626"/>
          <w:sz w:val="21"/>
          <w:szCs w:val="21"/>
        </w:rPr>
        <w:t xml:space="preserve">本編で用いる主な専門用語を五十音順に解説します。実際の本編で使用した用語に合わせて確定時に追加・調整します。</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400"/>
        <w:gridCol w:w="6160"/>
      </w:tblGrid>
      <w:tr>
        <w:trPr>
          <w:tblHeader/>
        </w:trPr>
        <w:tc>
          <w:tcPr>
            <w:tcW w:type="dxa" w:w="34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用語</w:t>
            </w:r>
          </w:p>
        </w:tc>
        <w:tc>
          <w:tcPr>
            <w:tcW w:type="dxa" w:w="616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解説</w:t>
            </w:r>
          </w:p>
        </w:tc>
      </w:tr>
      <w:tr>
        <w:tc>
          <w:tcPr>
            <w:gridSpan w:val="2"/>
            <w:tcBorders>
              <w:top w:val="single" w:color="808080" w:sz="4"/>
              <w:left w:val="single" w:color="808080" w:sz="4"/>
              <w:bottom w:val="single" w:color="808080" w:sz="4"/>
              <w:right w:val="single" w:color="808080" w:sz="4"/>
            </w:tcBorders>
            <w:shd w:fill="BDD7EE" w:val="clear"/>
            <w:tcMar>
              <w:top w:type="dxa" w:w="60"/>
              <w:left w:type="dxa" w:w="110"/>
              <w:bottom w:type="dxa" w:w="60"/>
              <w:right w:type="dxa" w:w="110"/>
            </w:tcMar>
          </w:tcPr>
          <w:p>
            <w:r>
              <w:rPr>
                <w:rFonts w:ascii="游ゴシック" w:cs="游ゴシック" w:eastAsia="游ゴシック" w:hAnsi="游ゴシック"/>
                <w:b/>
                <w:bCs/>
                <w:color w:val="1F3864"/>
                <w:sz w:val="20"/>
                <w:szCs w:val="20"/>
              </w:rPr>
              <w:t xml:space="preserve">【あ行】</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left"/>
            </w:pPr>
            <w:r>
              <w:rPr>
                <w:rFonts w:ascii="游ゴシック" w:cs="游ゴシック" w:eastAsia="游ゴシック" w:hAnsi="游ゴシック"/>
                <w:b/>
                <w:bCs/>
                <w:color w:val="1F3864"/>
                <w:sz w:val="19"/>
                <w:szCs w:val="19"/>
              </w:rPr>
              <w:t xml:space="preserve">ICT（情報通信技術）</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パソコン・スマートフォン・インターネット等を活用した情報通信の技術。介護分野では見守り機器・記録の電子化・オンライン相談等に活用される。</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left"/>
            </w:pPr>
            <w:r>
              <w:rPr>
                <w:rFonts w:ascii="游ゴシック" w:cs="游ゴシック" w:eastAsia="游ゴシック" w:hAnsi="游ゴシック"/>
                <w:b/>
                <w:bCs/>
                <w:color w:val="1F3864"/>
                <w:sz w:val="19"/>
                <w:szCs w:val="19"/>
              </w:rPr>
              <w:t xml:space="preserve">8050問題</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80代の高齢の親が、50代の無職・ひきこもり等の子を支える状態で生じる生活・介護上の課題。親の介護と子の生活困窮が同時に起こりやすい。</w:t>
            </w:r>
          </w:p>
        </w:tc>
      </w:tr>
      <w:tr>
        <w:tc>
          <w:tcPr>
            <w:gridSpan w:val="2"/>
            <w:tcBorders>
              <w:top w:val="single" w:color="808080" w:sz="4"/>
              <w:left w:val="single" w:color="808080" w:sz="4"/>
              <w:bottom w:val="single" w:color="808080" w:sz="4"/>
              <w:right w:val="single" w:color="808080" w:sz="4"/>
            </w:tcBorders>
            <w:shd w:fill="BDD7EE" w:val="clear"/>
            <w:tcMar>
              <w:top w:type="dxa" w:w="60"/>
              <w:left w:type="dxa" w:w="110"/>
              <w:bottom w:type="dxa" w:w="60"/>
              <w:right w:type="dxa" w:w="110"/>
            </w:tcMar>
          </w:tcPr>
          <w:p>
            <w:r>
              <w:rPr>
                <w:rFonts w:ascii="游ゴシック" w:cs="游ゴシック" w:eastAsia="游ゴシック" w:hAnsi="游ゴシック"/>
                <w:b/>
                <w:bCs/>
                <w:color w:val="1F3864"/>
                <w:sz w:val="20"/>
                <w:szCs w:val="20"/>
              </w:rPr>
              <w:t xml:space="preserve">【か行】</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left"/>
            </w:pPr>
            <w:r>
              <w:rPr>
                <w:rFonts w:ascii="游ゴシック" w:cs="游ゴシック" w:eastAsia="游ゴシック" w:hAnsi="游ゴシック"/>
                <w:b/>
                <w:bCs/>
                <w:color w:val="1F3864"/>
                <w:sz w:val="19"/>
                <w:szCs w:val="19"/>
              </w:rPr>
              <w:t xml:space="preserve">介護給付費準備基金</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計画期間中に介護給付費が見込みを下回った場合の剰余金を積み立てた基金。次期計画で取り崩すことで保険料の上昇を抑制できる。</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left"/>
            </w:pPr>
            <w:r>
              <w:rPr>
                <w:rFonts w:ascii="游ゴシック" w:cs="游ゴシック" w:eastAsia="游ゴシック" w:hAnsi="游ゴシック"/>
                <w:b/>
                <w:bCs/>
                <w:color w:val="1F3864"/>
                <w:sz w:val="19"/>
                <w:szCs w:val="19"/>
              </w:rPr>
              <w:t xml:space="preserve">介護予防</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高齢者が要介護状態になることを防ぎ、また状態の悪化を防ぐための取組。運動・栄養・社会参加等を通じて心身機能の維持を図る。</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left"/>
            </w:pPr>
            <w:r>
              <w:rPr>
                <w:rFonts w:ascii="游ゴシック" w:cs="游ゴシック" w:eastAsia="游ゴシック" w:hAnsi="游ゴシック"/>
                <w:b/>
                <w:bCs/>
                <w:color w:val="1F3864"/>
                <w:sz w:val="19"/>
                <w:szCs w:val="19"/>
              </w:rPr>
              <w:t xml:space="preserve">介護予防・日常生活支援総合事業（総合事業）</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要支援者等を対象に、市町村が地域の実情に応じて行う介護予防・生活支援サービスの総称。訪問型・通所型サービス、一般介護予防事業等で構成される。</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left"/>
            </w:pPr>
            <w:r>
              <w:rPr>
                <w:rFonts w:ascii="游ゴシック" w:cs="游ゴシック" w:eastAsia="游ゴシック" w:hAnsi="游ゴシック"/>
                <w:b/>
                <w:bCs/>
                <w:color w:val="1F3864"/>
                <w:sz w:val="19"/>
                <w:szCs w:val="19"/>
              </w:rPr>
              <w:t xml:space="preserve">居宅サービス</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自宅で生活する要介護者等が利用する訪問介護・通所介護・短期入所等のサービス。</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left"/>
            </w:pPr>
            <w:r>
              <w:rPr>
                <w:rFonts w:ascii="游ゴシック" w:cs="游ゴシック" w:eastAsia="游ゴシック" w:hAnsi="游ゴシック"/>
                <w:b/>
                <w:bCs/>
                <w:color w:val="1F3864"/>
                <w:sz w:val="19"/>
                <w:szCs w:val="19"/>
              </w:rPr>
              <w:t xml:space="preserve">ケアプラン（介護サービス計画）</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要介護者等の状態や希望に応じて、利用する介護サービスの種類・内容を定めた計画。介護支援専門員（ケアマネジャー）が作成する。</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left"/>
            </w:pPr>
            <w:r>
              <w:rPr>
                <w:rFonts w:ascii="游ゴシック" w:cs="游ゴシック" w:eastAsia="游ゴシック" w:hAnsi="游ゴシック"/>
                <w:b/>
                <w:bCs/>
                <w:color w:val="1F3864"/>
                <w:sz w:val="19"/>
                <w:szCs w:val="19"/>
              </w:rPr>
              <w:t xml:space="preserve">後期高齢者</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75歳以上の高齢者。要介護認定率が前期高齢者より大幅に高く、医療・介護需要の中心となる。</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left"/>
            </w:pPr>
            <w:r>
              <w:rPr>
                <w:rFonts w:ascii="游ゴシック" w:cs="游ゴシック" w:eastAsia="游ゴシック" w:hAnsi="游ゴシック"/>
                <w:b/>
                <w:bCs/>
                <w:color w:val="1F3864"/>
                <w:sz w:val="19"/>
                <w:szCs w:val="19"/>
              </w:rPr>
              <w:t xml:space="preserve">高齢化率</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総人口に占める65歳以上人口の割合。本町は令和7年3月時点で41.4%（県内5位）。</w:t>
            </w:r>
          </w:p>
        </w:tc>
      </w:tr>
      <w:tr>
        <w:tc>
          <w:tcPr>
            <w:gridSpan w:val="2"/>
            <w:tcBorders>
              <w:top w:val="single" w:color="808080" w:sz="4"/>
              <w:left w:val="single" w:color="808080" w:sz="4"/>
              <w:bottom w:val="single" w:color="808080" w:sz="4"/>
              <w:right w:val="single" w:color="808080" w:sz="4"/>
            </w:tcBorders>
            <w:shd w:fill="BDD7EE" w:val="clear"/>
            <w:tcMar>
              <w:top w:type="dxa" w:w="60"/>
              <w:left w:type="dxa" w:w="110"/>
              <w:bottom w:type="dxa" w:w="60"/>
              <w:right w:type="dxa" w:w="110"/>
            </w:tcMar>
          </w:tcPr>
          <w:p>
            <w:r>
              <w:rPr>
                <w:rFonts w:ascii="游ゴシック" w:cs="游ゴシック" w:eastAsia="游ゴシック" w:hAnsi="游ゴシック"/>
                <w:b/>
                <w:bCs/>
                <w:color w:val="1F3864"/>
                <w:sz w:val="20"/>
                <w:szCs w:val="20"/>
              </w:rPr>
              <w:t xml:space="preserve">【さ行】</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left"/>
            </w:pPr>
            <w:r>
              <w:rPr>
                <w:rFonts w:ascii="游ゴシック" w:cs="游ゴシック" w:eastAsia="游ゴシック" w:hAnsi="游ゴシック"/>
                <w:b/>
                <w:bCs/>
                <w:color w:val="1F3864"/>
                <w:sz w:val="19"/>
                <w:szCs w:val="19"/>
              </w:rPr>
              <w:t xml:space="preserve">在宅介護実態調査</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在宅で介護を受ける高齢者・家族の状況（介護負担・サービス利用・就労との両立等）を把握する調査。サービス見込量や施策検討の基礎となる。</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left"/>
            </w:pPr>
            <w:r>
              <w:rPr>
                <w:rFonts w:ascii="游ゴシック" w:cs="游ゴシック" w:eastAsia="游ゴシック" w:hAnsi="游ゴシック"/>
                <w:b/>
                <w:bCs/>
                <w:color w:val="1F3864"/>
                <w:sz w:val="19"/>
                <w:szCs w:val="19"/>
              </w:rPr>
              <w:t xml:space="preserve">サービス見込量</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計画期間中に必要となる各介護サービスの利用量の見込み。人口推計・認定率・利用率等から算定する。</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left"/>
            </w:pPr>
            <w:r>
              <w:rPr>
                <w:rFonts w:ascii="游ゴシック" w:cs="游ゴシック" w:eastAsia="游ゴシック" w:hAnsi="游ゴシック"/>
                <w:b/>
                <w:bCs/>
                <w:color w:val="1F3864"/>
                <w:sz w:val="19"/>
                <w:szCs w:val="19"/>
              </w:rPr>
              <w:t xml:space="preserve">施設サービス</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介護老人福祉施設（特養）・介護老人保健施設（老健）・介護医療院に入所して受けるサービス。1人当たり給付費が高い。</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left"/>
            </w:pPr>
            <w:r>
              <w:rPr>
                <w:rFonts w:ascii="游ゴシック" w:cs="游ゴシック" w:eastAsia="游ゴシック" w:hAnsi="游ゴシック"/>
                <w:b/>
                <w:bCs/>
                <w:color w:val="1F3864"/>
                <w:sz w:val="19"/>
                <w:szCs w:val="19"/>
              </w:rPr>
              <w:t xml:space="preserve">住所地特例</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住所地以外の市町村の施設に入所した場合に、元の住所地の市町村が引き続き保険者となる仕組み。本町は対象者24人（R7.6）。</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left"/>
            </w:pPr>
            <w:r>
              <w:rPr>
                <w:rFonts w:ascii="游ゴシック" w:cs="游ゴシック" w:eastAsia="游ゴシック" w:hAnsi="游ゴシック"/>
                <w:b/>
                <w:bCs/>
                <w:color w:val="1F3864"/>
                <w:sz w:val="19"/>
                <w:szCs w:val="19"/>
              </w:rPr>
              <w:t xml:space="preserve">所得段階区分</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第1号被保険者の保険料を所得に応じて段階分けする区分。国は第10期に向け9段階から13段階への見直しを推奨。</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left"/>
            </w:pPr>
            <w:r>
              <w:rPr>
                <w:rFonts w:ascii="游ゴシック" w:cs="游ゴシック" w:eastAsia="游ゴシック" w:hAnsi="游ゴシック"/>
                <w:b/>
                <w:bCs/>
                <w:color w:val="1F3864"/>
                <w:sz w:val="19"/>
                <w:szCs w:val="19"/>
              </w:rPr>
              <w:t xml:space="preserve">調整交付金</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市町村間の財政力（後期高齢者割合・所得分布）の差を調整するため国が交付する交付金。</w:t>
            </w:r>
          </w:p>
        </w:tc>
      </w:tr>
      <w:tr>
        <w:tc>
          <w:tcPr>
            <w:gridSpan w:val="2"/>
            <w:tcBorders>
              <w:top w:val="single" w:color="808080" w:sz="4"/>
              <w:left w:val="single" w:color="808080" w:sz="4"/>
              <w:bottom w:val="single" w:color="808080" w:sz="4"/>
              <w:right w:val="single" w:color="808080" w:sz="4"/>
            </w:tcBorders>
            <w:shd w:fill="BDD7EE" w:val="clear"/>
            <w:tcMar>
              <w:top w:type="dxa" w:w="60"/>
              <w:left w:type="dxa" w:w="110"/>
              <w:bottom w:type="dxa" w:w="60"/>
              <w:right w:type="dxa" w:w="110"/>
            </w:tcMar>
          </w:tcPr>
          <w:p>
            <w:r>
              <w:rPr>
                <w:rFonts w:ascii="游ゴシック" w:cs="游ゴシック" w:eastAsia="游ゴシック" w:hAnsi="游ゴシック"/>
                <w:b/>
                <w:bCs/>
                <w:color w:val="1F3864"/>
                <w:sz w:val="20"/>
                <w:szCs w:val="20"/>
              </w:rPr>
              <w:t xml:space="preserve">【た行】</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left"/>
            </w:pPr>
            <w:r>
              <w:rPr>
                <w:rFonts w:ascii="游ゴシック" w:cs="游ゴシック" w:eastAsia="游ゴシック" w:hAnsi="游ゴシック"/>
                <w:b/>
                <w:bCs/>
                <w:color w:val="1F3864"/>
                <w:sz w:val="19"/>
                <w:szCs w:val="19"/>
              </w:rPr>
              <w:t xml:space="preserve">第1号被保険者</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65歳以上の介護保険の被保険者。保険料は所得段階に応じて決まる。本町は3,244人（R7.6）。</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left"/>
            </w:pPr>
            <w:r>
              <w:rPr>
                <w:rFonts w:ascii="游ゴシック" w:cs="游ゴシック" w:eastAsia="游ゴシック" w:hAnsi="游ゴシック"/>
                <w:b/>
                <w:bCs/>
                <w:color w:val="1F3864"/>
                <w:sz w:val="19"/>
                <w:szCs w:val="19"/>
              </w:rPr>
              <w:t xml:space="preserve">第2号被保険者</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40歳以上65歳未満の医療保険加入者である被保険者。特定疾病により要介護等となった場合にサービスを利用できる。</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left"/>
            </w:pPr>
            <w:r>
              <w:rPr>
                <w:rFonts w:ascii="游ゴシック" w:cs="游ゴシック" w:eastAsia="游ゴシック" w:hAnsi="游ゴシック"/>
                <w:b/>
                <w:bCs/>
                <w:color w:val="1F3864"/>
                <w:sz w:val="19"/>
                <w:szCs w:val="19"/>
              </w:rPr>
              <w:t xml:space="preserve">地域包括ケアシステム</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高齢者が住み慣れた地域で自分らしく暮らし続けられるよう、医療・介護・予防・住まい・生活支援を一体的に提供する体制。</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left"/>
            </w:pPr>
            <w:r>
              <w:rPr>
                <w:rFonts w:ascii="游ゴシック" w:cs="游ゴシック" w:eastAsia="游ゴシック" w:hAnsi="游ゴシック"/>
                <w:b/>
                <w:bCs/>
                <w:color w:val="1F3864"/>
                <w:sz w:val="19"/>
                <w:szCs w:val="19"/>
              </w:rPr>
              <w:t xml:space="preserve">地域包括支援センター</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高齢者の総合相談・権利擁護・介護予防ケアマネジメント等を担う中核機関。</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left"/>
            </w:pPr>
            <w:r>
              <w:rPr>
                <w:rFonts w:ascii="游ゴシック" w:cs="游ゴシック" w:eastAsia="游ゴシック" w:hAnsi="游ゴシック"/>
                <w:b/>
                <w:bCs/>
                <w:color w:val="1F3864"/>
                <w:sz w:val="19"/>
                <w:szCs w:val="19"/>
              </w:rPr>
              <w:t xml:space="preserve">地域支援事業</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市町村が行う、要介護状態となることの予防や地域の支援体制づくりのための事業。総合事業・包括的支援事業・任意事業で構成。</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left"/>
            </w:pPr>
            <w:r>
              <w:rPr>
                <w:rFonts w:ascii="游ゴシック" w:cs="游ゴシック" w:eastAsia="游ゴシック" w:hAnsi="游ゴシック"/>
                <w:b/>
                <w:bCs/>
                <w:color w:val="1F3864"/>
                <w:sz w:val="19"/>
                <w:szCs w:val="19"/>
              </w:rPr>
              <w:t xml:space="preserve">地域密着型サービス</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住み慣れた地域での生活を支えるため、原則として当該市町村の住民が利用できるサービス。小規模多機能型居宅介護・認知症対応型共同生活介護（グループホーム）等。</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left"/>
            </w:pPr>
            <w:r>
              <w:rPr>
                <w:rFonts w:ascii="游ゴシック" w:cs="游ゴシック" w:eastAsia="游ゴシック" w:hAnsi="游ゴシック"/>
                <w:b/>
                <w:bCs/>
                <w:color w:val="1F3864"/>
                <w:sz w:val="19"/>
                <w:szCs w:val="19"/>
              </w:rPr>
              <w:t xml:space="preserve">チームオレンジ</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認知症の人やその家族の支援ニーズに、認知症サポーター等が支援チームを組んで対応する取組。</w:t>
            </w:r>
          </w:p>
        </w:tc>
      </w:tr>
      <w:tr>
        <w:tc>
          <w:tcPr>
            <w:gridSpan w:val="2"/>
            <w:tcBorders>
              <w:top w:val="single" w:color="808080" w:sz="4"/>
              <w:left w:val="single" w:color="808080" w:sz="4"/>
              <w:bottom w:val="single" w:color="808080" w:sz="4"/>
              <w:right w:val="single" w:color="808080" w:sz="4"/>
            </w:tcBorders>
            <w:shd w:fill="BDD7EE" w:val="clear"/>
            <w:tcMar>
              <w:top w:type="dxa" w:w="60"/>
              <w:left w:type="dxa" w:w="110"/>
              <w:bottom w:type="dxa" w:w="60"/>
              <w:right w:type="dxa" w:w="110"/>
            </w:tcMar>
          </w:tcPr>
          <w:p>
            <w:r>
              <w:rPr>
                <w:rFonts w:ascii="游ゴシック" w:cs="游ゴシック" w:eastAsia="游ゴシック" w:hAnsi="游ゴシック"/>
                <w:b/>
                <w:bCs/>
                <w:color w:val="1F3864"/>
                <w:sz w:val="20"/>
                <w:szCs w:val="20"/>
              </w:rPr>
              <w:t xml:space="preserve">【な行】</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left"/>
            </w:pPr>
            <w:r>
              <w:rPr>
                <w:rFonts w:ascii="游ゴシック" w:cs="游ゴシック" w:eastAsia="游ゴシック" w:hAnsi="游ゴシック"/>
                <w:b/>
                <w:bCs/>
                <w:color w:val="1F3864"/>
                <w:sz w:val="19"/>
                <w:szCs w:val="19"/>
              </w:rPr>
              <w:t xml:space="preserve">認知症基本法</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共生社会の実現を推進するための認知症基本法（令和5年法律第65号、令和6年1月施行）。市町村に認知症施策推進計画の策定の努力義務を課す。</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left"/>
            </w:pPr>
            <w:r>
              <w:rPr>
                <w:rFonts w:ascii="游ゴシック" w:cs="游ゴシック" w:eastAsia="游ゴシック" w:hAnsi="游ゴシック"/>
                <w:b/>
                <w:bCs/>
                <w:color w:val="1F3864"/>
                <w:sz w:val="19"/>
                <w:szCs w:val="19"/>
              </w:rPr>
              <w:t xml:space="preserve">認知症サポーター</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認知症に関する正しい知識を持ち、認知症の人や家族を温かく見守り支援する応援者。</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left"/>
            </w:pPr>
            <w:r>
              <w:rPr>
                <w:rFonts w:ascii="游ゴシック" w:cs="游ゴシック" w:eastAsia="游ゴシック" w:hAnsi="游ゴシック"/>
                <w:b/>
                <w:bCs/>
                <w:color w:val="1F3864"/>
                <w:sz w:val="19"/>
                <w:szCs w:val="19"/>
              </w:rPr>
              <w:t xml:space="preserve">認知症施策推進計画</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認知症基本法に基づき市町村が策定する計画。本計画では独立章で位置づける。</w:t>
            </w:r>
          </w:p>
        </w:tc>
      </w:tr>
      <w:tr>
        <w:tc>
          <w:tcPr>
            <w:gridSpan w:val="2"/>
            <w:tcBorders>
              <w:top w:val="single" w:color="808080" w:sz="4"/>
              <w:left w:val="single" w:color="808080" w:sz="4"/>
              <w:bottom w:val="single" w:color="808080" w:sz="4"/>
              <w:right w:val="single" w:color="808080" w:sz="4"/>
            </w:tcBorders>
            <w:shd w:fill="BDD7EE" w:val="clear"/>
            <w:tcMar>
              <w:top w:type="dxa" w:w="60"/>
              <w:left w:type="dxa" w:w="110"/>
              <w:bottom w:type="dxa" w:w="60"/>
              <w:right w:type="dxa" w:w="110"/>
            </w:tcMar>
          </w:tcPr>
          <w:p>
            <w:r>
              <w:rPr>
                <w:rFonts w:ascii="游ゴシック" w:cs="游ゴシック" w:eastAsia="游ゴシック" w:hAnsi="游ゴシック"/>
                <w:b/>
                <w:bCs/>
                <w:color w:val="1F3864"/>
                <w:sz w:val="20"/>
                <w:szCs w:val="20"/>
              </w:rPr>
              <w:t xml:space="preserve">【は行】</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left"/>
            </w:pPr>
            <w:r>
              <w:rPr>
                <w:rFonts w:ascii="游ゴシック" w:cs="游ゴシック" w:eastAsia="游ゴシック" w:hAnsi="游ゴシック"/>
                <w:b/>
                <w:bCs/>
                <w:color w:val="1F3864"/>
                <w:sz w:val="19"/>
                <w:szCs w:val="19"/>
              </w:rPr>
              <w:t xml:space="preserve">フレイル</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加齢に伴い心身の活力（筋力・認知機能等）が低下し、要介護に至る前段階の状態。適切な介入で改善が可能。</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left"/>
            </w:pPr>
            <w:r>
              <w:rPr>
                <w:rFonts w:ascii="游ゴシック" w:cs="游ゴシック" w:eastAsia="游ゴシック" w:hAnsi="游ゴシック"/>
                <w:b/>
                <w:bCs/>
                <w:color w:val="1F3864"/>
                <w:sz w:val="19"/>
                <w:szCs w:val="19"/>
              </w:rPr>
              <w:t xml:space="preserve">包括的支援事業</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地域包括支援センターの運営、在宅医療・介護連携、認知症総合支援、生活支援体制整備等を行う地域支援事業の中核。</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left"/>
            </w:pPr>
            <w:r>
              <w:rPr>
                <w:rFonts w:ascii="游ゴシック" w:cs="游ゴシック" w:eastAsia="游ゴシック" w:hAnsi="游ゴシック"/>
                <w:b/>
                <w:bCs/>
                <w:color w:val="1F3864"/>
                <w:sz w:val="19"/>
                <w:szCs w:val="19"/>
              </w:rPr>
              <w:t xml:space="preserve">保険料収納率</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賦課した保険料のうち実際に納付された割合。</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left"/>
            </w:pPr>
            <w:r>
              <w:rPr>
                <w:rFonts w:ascii="游ゴシック" w:cs="游ゴシック" w:eastAsia="游ゴシック" w:hAnsi="游ゴシック"/>
                <w:b/>
                <w:bCs/>
                <w:color w:val="1F3864"/>
                <w:sz w:val="19"/>
                <w:szCs w:val="19"/>
              </w:rPr>
              <w:t xml:space="preserve">本人ミーティング</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認知症の本人が集い、本人の体験や思いを語り合い、本人の視点を施策に反映する場。</w:t>
            </w:r>
          </w:p>
        </w:tc>
      </w:tr>
      <w:tr>
        <w:tc>
          <w:tcPr>
            <w:gridSpan w:val="2"/>
            <w:tcBorders>
              <w:top w:val="single" w:color="808080" w:sz="4"/>
              <w:left w:val="single" w:color="808080" w:sz="4"/>
              <w:bottom w:val="single" w:color="808080" w:sz="4"/>
              <w:right w:val="single" w:color="808080" w:sz="4"/>
            </w:tcBorders>
            <w:shd w:fill="BDD7EE" w:val="clear"/>
            <w:tcMar>
              <w:top w:type="dxa" w:w="60"/>
              <w:left w:type="dxa" w:w="110"/>
              <w:bottom w:type="dxa" w:w="60"/>
              <w:right w:type="dxa" w:w="110"/>
            </w:tcMar>
          </w:tcPr>
          <w:p>
            <w:r>
              <w:rPr>
                <w:rFonts w:ascii="游ゴシック" w:cs="游ゴシック" w:eastAsia="游ゴシック" w:hAnsi="游ゴシック"/>
                <w:b/>
                <w:bCs/>
                <w:color w:val="1F3864"/>
                <w:sz w:val="20"/>
                <w:szCs w:val="20"/>
              </w:rPr>
              <w:t xml:space="preserve">【ま行】</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left"/>
            </w:pPr>
            <w:r>
              <w:rPr>
                <w:rFonts w:ascii="游ゴシック" w:cs="游ゴシック" w:eastAsia="游ゴシック" w:hAnsi="游ゴシック"/>
                <w:b/>
                <w:bCs/>
                <w:color w:val="1F3864"/>
                <w:sz w:val="19"/>
                <w:szCs w:val="19"/>
              </w:rPr>
              <w:t xml:space="preserve">見える化システム</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介護保険事業（支援）計画策定支援のため厚労省が提供する地域分析・比較のためのシステム。保険料・給付費等の他団体比較に活用。</w:t>
            </w:r>
          </w:p>
        </w:tc>
      </w:tr>
      <w:tr>
        <w:tc>
          <w:tcPr>
            <w:gridSpan w:val="2"/>
            <w:tcBorders>
              <w:top w:val="single" w:color="808080" w:sz="4"/>
              <w:left w:val="single" w:color="808080" w:sz="4"/>
              <w:bottom w:val="single" w:color="808080" w:sz="4"/>
              <w:right w:val="single" w:color="808080" w:sz="4"/>
            </w:tcBorders>
            <w:shd w:fill="BDD7EE" w:val="clear"/>
            <w:tcMar>
              <w:top w:type="dxa" w:w="60"/>
              <w:left w:type="dxa" w:w="110"/>
              <w:bottom w:type="dxa" w:w="60"/>
              <w:right w:type="dxa" w:w="110"/>
            </w:tcMar>
          </w:tcPr>
          <w:p>
            <w:r>
              <w:rPr>
                <w:rFonts w:ascii="游ゴシック" w:cs="游ゴシック" w:eastAsia="游ゴシック" w:hAnsi="游ゴシック"/>
                <w:b/>
                <w:bCs/>
                <w:color w:val="1F3864"/>
                <w:sz w:val="20"/>
                <w:szCs w:val="20"/>
              </w:rPr>
              <w:t xml:space="preserve">【や行】</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left"/>
            </w:pPr>
            <w:r>
              <w:rPr>
                <w:rFonts w:ascii="游ゴシック" w:cs="游ゴシック" w:eastAsia="游ゴシック" w:hAnsi="游ゴシック"/>
                <w:b/>
                <w:bCs/>
                <w:color w:val="1F3864"/>
                <w:sz w:val="19"/>
                <w:szCs w:val="19"/>
              </w:rPr>
              <w:t xml:space="preserve">ヤングケアラー</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本来大人が担うと想定される家事・家族の世話・介護等を日常的に行っている子ども。家族介護者支援の観点で配慮が必要。</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left"/>
            </w:pPr>
            <w:r>
              <w:rPr>
                <w:rFonts w:ascii="游ゴシック" w:cs="游ゴシック" w:eastAsia="游ゴシック" w:hAnsi="游ゴシック"/>
                <w:b/>
                <w:bCs/>
                <w:color w:val="1F3864"/>
                <w:sz w:val="19"/>
                <w:szCs w:val="19"/>
              </w:rPr>
              <w:t xml:space="preserve">要介護認定</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介護サービスの必要度を判定する手続き。要支援1〜2、要介護1〜5の7区分に分けられる。</w:t>
            </w:r>
          </w:p>
        </w:tc>
      </w:tr>
      <w:tr>
        <w:tc>
          <w:tcPr>
            <w:gridSpan w:val="2"/>
            <w:tcBorders>
              <w:top w:val="single" w:color="808080" w:sz="4"/>
              <w:left w:val="single" w:color="808080" w:sz="4"/>
              <w:bottom w:val="single" w:color="808080" w:sz="4"/>
              <w:right w:val="single" w:color="808080" w:sz="4"/>
            </w:tcBorders>
            <w:shd w:fill="BDD7EE" w:val="clear"/>
            <w:tcMar>
              <w:top w:type="dxa" w:w="60"/>
              <w:left w:type="dxa" w:w="110"/>
              <w:bottom w:type="dxa" w:w="60"/>
              <w:right w:type="dxa" w:w="110"/>
            </w:tcMar>
          </w:tcPr>
          <w:p>
            <w:r>
              <w:rPr>
                <w:rFonts w:ascii="游ゴシック" w:cs="游ゴシック" w:eastAsia="游ゴシック" w:hAnsi="游ゴシック"/>
                <w:b/>
                <w:bCs/>
                <w:color w:val="1F3864"/>
                <w:sz w:val="20"/>
                <w:szCs w:val="20"/>
              </w:rPr>
              <w:t xml:space="preserve">【ら行】</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left"/>
            </w:pPr>
            <w:r>
              <w:rPr>
                <w:rFonts w:ascii="游ゴシック" w:cs="游ゴシック" w:eastAsia="游ゴシック" w:hAnsi="游ゴシック"/>
                <w:b/>
                <w:bCs/>
                <w:color w:val="1F3864"/>
                <w:sz w:val="19"/>
                <w:szCs w:val="19"/>
              </w:rPr>
              <w:t xml:space="preserve">老老介護</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高齢者が高齢者を介護する状態。介護者自身の心身の負担が大きく、共倒れのリスクがある。</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left"/>
            </w:pPr>
            <w:r>
              <w:rPr>
                <w:rFonts w:ascii="游ゴシック" w:cs="游ゴシック" w:eastAsia="游ゴシック" w:hAnsi="游ゴシック"/>
                <w:b/>
                <w:bCs/>
                <w:color w:val="1F3864"/>
                <w:sz w:val="19"/>
                <w:szCs w:val="19"/>
              </w:rPr>
              <w:t xml:space="preserve">LIFE（科学的介護情報システム）</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介護サービスの状態・ケア内容等のデータを収集・分析し、科学的に効果が裏付けられた介護を推進する国のシステム。</w:t>
            </w:r>
          </w:p>
        </w:tc>
      </w:tr>
    </w:tbl>
    <w:p>
      <w:pPr>
        <w:spacing w:after="120"/>
      </w:pPr>
      <w:r>
        <w:rPr>
          <w:rFonts w:ascii="游明朝" w:cs="游明朝" w:eastAsia="游明朝" w:hAnsi="游明朝"/>
          <w:i/>
          <w:iCs/>
          <w:color w:val="808080"/>
          <w:sz w:val="17"/>
          <w:szCs w:val="17"/>
        </w:rPr>
        <w:t xml:space="preserve">※ 五十音順。本編で新たに使用した用語があれば確定後に追加する。</w:t>
      </w:r>
    </w:p>
    <w:p>
      <w:r>
        <w:br w:type="page"/>
      </w:r>
    </w:p>
    <w:p>
      <w:pPr>
        <w:pBdr>
          <w:top w:val="single" w:color="DEEBF7" w:sz="2" w:space="4"/>
          <w:left w:val="single" w:color="2E75B6" w:sz="20" w:space="8"/>
          <w:bottom w:val="single" w:color="DEEBF7" w:sz="2" w:space="4"/>
        </w:pBdr>
        <w:shd w:fill="DEEBF7" w:val="clear"/>
        <w:spacing w:after="140" w:before="300"/>
      </w:pPr>
      <w:r>
        <w:rPr>
          <w:rFonts w:ascii="游ゴシック" w:cs="游ゴシック" w:eastAsia="游ゴシック" w:hAnsi="游ゴシック"/>
          <w:b/>
          <w:bCs/>
          <w:color w:val="C55A11"/>
          <w:sz w:val="24"/>
          <w:szCs w:val="24"/>
        </w:rPr>
        <w:t xml:space="preserve">資料6　</w:t>
      </w:r>
      <w:r>
        <w:rPr>
          <w:rFonts w:ascii="游ゴシック" w:cs="游ゴシック" w:eastAsia="游ゴシック" w:hAnsi="游ゴシック"/>
          <w:b/>
          <w:bCs/>
          <w:color w:val="1F3864"/>
          <w:sz w:val="24"/>
          <w:szCs w:val="24"/>
        </w:rPr>
        <w:t xml:space="preserve">関連法令・告示（抜粋）</w:t>
      </w:r>
      <w:r>
        <w:rPr>
          <w:rFonts w:ascii="游ゴシック" w:cs="游ゴシック" w:eastAsia="游ゴシック" w:hAnsi="游ゴシック"/>
          <w:b/>
          <w:bCs/>
          <w:color w:val="7030A0"/>
          <w:sz w:val="18"/>
          <w:szCs w:val="18"/>
        </w:rPr>
        <w:t xml:space="preserve">　［新規提案（任意）］</w:t>
      </w:r>
    </w:p>
    <w:p>
      <w:pPr>
        <w:spacing w:after="120" w:line="300"/>
        <w:jc w:val="both"/>
      </w:pPr>
      <w:r>
        <w:rPr>
          <w:rFonts w:ascii="游明朝" w:cs="游明朝" w:eastAsia="游明朝" w:hAnsi="游明朝"/>
          <w:color w:val="262626"/>
          <w:sz w:val="21"/>
          <w:szCs w:val="21"/>
        </w:rPr>
        <w:t xml:space="preserve">本計画の根拠及び関連する主な法令・告示・指針は以下のとおりです。</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5200"/>
        <w:gridCol w:w="1360"/>
      </w:tblGrid>
      <w:tr>
        <w:trPr>
          <w:tblHeader/>
        </w:trPr>
        <w:tc>
          <w:tcPr>
            <w:tcW w:type="dxa" w:w="30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区分</w:t>
            </w:r>
          </w:p>
        </w:tc>
        <w:tc>
          <w:tcPr>
            <w:tcW w:type="dxa" w:w="520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法令・指針名</w:t>
            </w:r>
          </w:p>
        </w:tc>
        <w:tc>
          <w:tcPr>
            <w:tcW w:type="dxa" w:w="1360"/>
            <w:tcBorders>
              <w:top w:val="single" w:color="808080" w:sz="4"/>
              <w:left w:val="single" w:color="808080" w:sz="4"/>
              <w:bottom w:val="single" w:color="808080" w:sz="4"/>
              <w:right w:val="single" w:color="808080" w:sz="4"/>
            </w:tcBorders>
            <w:shd w:fill="1F3864" w:val="clear"/>
            <w:tcMar>
              <w:top w:type="dxa" w:w="60"/>
              <w:left w:type="dxa" w:w="110"/>
              <w:bottom w:type="dxa" w:w="60"/>
              <w:right w:type="dxa" w:w="110"/>
            </w:tcMar>
            <w:vAlign w:val="center"/>
          </w:tcPr>
          <w:p>
            <w:pPr>
              <w:jc w:val="center"/>
            </w:pPr>
            <w:r>
              <w:rPr>
                <w:rFonts w:ascii="游ゴシック" w:cs="游ゴシック" w:eastAsia="游ゴシック" w:hAnsi="游ゴシック"/>
                <w:b/>
                <w:bCs/>
                <w:color w:val="FFFFFF"/>
                <w:sz w:val="19"/>
                <w:szCs w:val="19"/>
              </w:rPr>
              <w:t xml:space="preserve">略称</w:t>
            </w:r>
          </w:p>
        </w:tc>
      </w:tr>
      <w:tr>
        <w:tc>
          <w:tcPr>
            <w:tcBorders>
              <w:top w:val="single" w:color="808080" w:sz="4"/>
              <w:left w:val="single" w:color="808080" w:sz="4"/>
              <w:bottom w:val="single" w:color="808080" w:sz="4"/>
              <w:right w:val="single" w:color="808080" w:sz="4"/>
            </w:tcBorders>
            <w:shd w:fill="E2EFDA" w:val="clear"/>
            <w:tcMar>
              <w:top w:type="dxa" w:w="60"/>
              <w:left w:type="dxa" w:w="110"/>
              <w:bottom w:type="dxa" w:w="60"/>
              <w:right w:type="dxa" w:w="110"/>
            </w:tcMar>
            <w:vAlign w:val="center"/>
          </w:tcPr>
          <w:p>
            <w:pPr>
              <w:jc w:val="left"/>
            </w:pPr>
            <w:r>
              <w:rPr>
                <w:rFonts w:ascii="游明朝" w:cs="游明朝" w:eastAsia="游明朝" w:hAnsi="游明朝"/>
                <w:b/>
                <w:bCs/>
                <w:color w:val="262626"/>
                <w:sz w:val="19"/>
                <w:szCs w:val="19"/>
              </w:rPr>
              <w:t xml:space="preserve">根拠法</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介護保険法（平成9年法律第123号）第117条</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
            </w:r>
          </w:p>
        </w:tc>
      </w:tr>
      <w:tr>
        <w:tc>
          <w:tcPr>
            <w:tcBorders>
              <w:top w:val="single" w:color="808080" w:sz="4"/>
              <w:left w:val="single" w:color="808080" w:sz="4"/>
              <w:bottom w:val="single" w:color="808080" w:sz="4"/>
              <w:right w:val="single" w:color="808080" w:sz="4"/>
            </w:tcBorders>
            <w:shd w:fill="E2EFDA" w:val="clear"/>
            <w:tcMar>
              <w:top w:type="dxa" w:w="60"/>
              <w:left w:type="dxa" w:w="110"/>
              <w:bottom w:type="dxa" w:w="60"/>
              <w:right w:type="dxa" w:w="110"/>
            </w:tcMar>
            <w:vAlign w:val="center"/>
          </w:tcPr>
          <w:p>
            <w:pPr>
              <w:jc w:val="left"/>
            </w:pPr>
            <w:r>
              <w:rPr>
                <w:rFonts w:ascii="游明朝" w:cs="游明朝" w:eastAsia="游明朝" w:hAnsi="游明朝"/>
                <w:b/>
                <w:bCs/>
                <w:color w:val="262626"/>
                <w:sz w:val="19"/>
                <w:szCs w:val="19"/>
              </w:rPr>
              <w:t xml:space="preserve">根拠法</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老人福祉法（昭和38年法律第133号）第20条の8</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
            </w:r>
          </w:p>
        </w:tc>
      </w:tr>
      <w:tr>
        <w:tc>
          <w:tcPr>
            <w:tcBorders>
              <w:top w:val="single" w:color="808080" w:sz="4"/>
              <w:left w:val="single" w:color="808080" w:sz="4"/>
              <w:bottom w:val="single" w:color="808080" w:sz="4"/>
              <w:right w:val="single" w:color="808080" w:sz="4"/>
            </w:tcBorders>
            <w:shd w:fill="E2EFDA" w:val="clear"/>
            <w:tcMar>
              <w:top w:type="dxa" w:w="60"/>
              <w:left w:type="dxa" w:w="110"/>
              <w:bottom w:type="dxa" w:w="60"/>
              <w:right w:type="dxa" w:w="110"/>
            </w:tcMar>
            <w:vAlign w:val="center"/>
          </w:tcPr>
          <w:p>
            <w:pPr>
              <w:jc w:val="left"/>
            </w:pPr>
            <w:r>
              <w:rPr>
                <w:rFonts w:ascii="游明朝" w:cs="游明朝" w:eastAsia="游明朝" w:hAnsi="游明朝"/>
                <w:b/>
                <w:bCs/>
                <w:color w:val="262626"/>
                <w:sz w:val="19"/>
                <w:szCs w:val="19"/>
              </w:rPr>
              <w:t xml:space="preserve">根拠法</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共生社会の実現を推進するための認知症基本法（令和5年法律第65号）第14条</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認知症基本法</w:t>
            </w:r>
          </w:p>
        </w:tc>
      </w:tr>
      <w:tr>
        <w:tc>
          <w:tcPr>
            <w:tcBorders>
              <w:top w:val="single" w:color="808080" w:sz="4"/>
              <w:left w:val="single" w:color="808080" w:sz="4"/>
              <w:bottom w:val="single" w:color="808080" w:sz="4"/>
              <w:right w:val="single" w:color="808080" w:sz="4"/>
            </w:tcBorders>
            <w:shd w:fill="DEEBF7" w:val="clear"/>
            <w:tcMar>
              <w:top w:type="dxa" w:w="60"/>
              <w:left w:type="dxa" w:w="110"/>
              <w:bottom w:type="dxa" w:w="60"/>
              <w:right w:type="dxa" w:w="110"/>
            </w:tcMar>
            <w:vAlign w:val="center"/>
          </w:tcPr>
          <w:p>
            <w:pPr>
              <w:jc w:val="left"/>
            </w:pPr>
            <w:r>
              <w:rPr>
                <w:rFonts w:ascii="游明朝" w:cs="游明朝" w:eastAsia="游明朝" w:hAnsi="游明朝"/>
                <w:b/>
                <w:bCs/>
                <w:color w:val="262626"/>
                <w:sz w:val="19"/>
                <w:szCs w:val="19"/>
              </w:rPr>
              <w:t xml:space="preserve">国の指針</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介護保険事業に係る保険給付の円滑な実施を確保するための基本指針（厚労省告示）</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基本指針</w:t>
            </w:r>
          </w:p>
        </w:tc>
      </w:tr>
      <w:tr>
        <w:tc>
          <w:tcPr>
            <w:tcBorders>
              <w:top w:val="single" w:color="808080" w:sz="4"/>
              <w:left w:val="single" w:color="808080" w:sz="4"/>
              <w:bottom w:val="single" w:color="808080" w:sz="4"/>
              <w:right w:val="single" w:color="808080" w:sz="4"/>
            </w:tcBorders>
            <w:shd w:fill="DEEBF7" w:val="clear"/>
            <w:tcMar>
              <w:top w:type="dxa" w:w="60"/>
              <w:left w:type="dxa" w:w="110"/>
              <w:bottom w:type="dxa" w:w="60"/>
              <w:right w:type="dxa" w:w="110"/>
            </w:tcMar>
            <w:vAlign w:val="center"/>
          </w:tcPr>
          <w:p>
            <w:pPr>
              <w:jc w:val="left"/>
            </w:pPr>
            <w:r>
              <w:rPr>
                <w:rFonts w:ascii="游明朝" w:cs="游明朝" w:eastAsia="游明朝" w:hAnsi="游明朝"/>
                <w:b/>
                <w:bCs/>
                <w:color w:val="262626"/>
                <w:sz w:val="19"/>
                <w:szCs w:val="19"/>
              </w:rPr>
              <w:t xml:space="preserve">国の計画</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認知症施策推進基本計画（令和6年12月閣議決定）</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
            </w:r>
          </w:p>
        </w:tc>
      </w:tr>
      <w:tr>
        <w:tc>
          <w:tcPr>
            <w:tcBorders>
              <w:top w:val="single" w:color="808080" w:sz="4"/>
              <w:left w:val="single" w:color="808080" w:sz="4"/>
              <w:bottom w:val="single" w:color="808080" w:sz="4"/>
              <w:right w:val="single" w:color="808080" w:sz="4"/>
            </w:tcBorders>
            <w:shd w:fill="FCE4D6" w:val="clear"/>
            <w:tcMar>
              <w:top w:type="dxa" w:w="60"/>
              <w:left w:type="dxa" w:w="110"/>
              <w:bottom w:type="dxa" w:w="60"/>
              <w:right w:type="dxa" w:w="110"/>
            </w:tcMar>
            <w:vAlign w:val="center"/>
          </w:tcPr>
          <w:p>
            <w:pPr>
              <w:jc w:val="left"/>
            </w:pPr>
            <w:r>
              <w:rPr>
                <w:rFonts w:ascii="游明朝" w:cs="游明朝" w:eastAsia="游明朝" w:hAnsi="游明朝"/>
                <w:b/>
                <w:bCs/>
                <w:color w:val="262626"/>
                <w:sz w:val="19"/>
                <w:szCs w:val="19"/>
              </w:rPr>
              <w:t xml:space="preserve">県の計画</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宮城県高齢者保健福祉計画・介護保険事業支援計画（第10期）</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県支援計画</w:t>
            </w:r>
          </w:p>
        </w:tc>
      </w:tr>
      <w:tr>
        <w:tc>
          <w:tcPr>
            <w:tcBorders>
              <w:top w:val="single" w:color="808080" w:sz="4"/>
              <w:left w:val="single" w:color="808080" w:sz="4"/>
              <w:bottom w:val="single" w:color="808080" w:sz="4"/>
              <w:right w:val="single" w:color="808080" w:sz="4"/>
            </w:tcBorders>
            <w:shd w:fill="F2F2F2" w:val="clear"/>
            <w:tcMar>
              <w:top w:type="dxa" w:w="60"/>
              <w:left w:type="dxa" w:w="110"/>
              <w:bottom w:type="dxa" w:w="60"/>
              <w:right w:type="dxa" w:w="110"/>
            </w:tcMar>
            <w:vAlign w:val="center"/>
          </w:tcPr>
          <w:p>
            <w:pPr>
              <w:jc w:val="left"/>
            </w:pPr>
            <w:r>
              <w:rPr>
                <w:rFonts w:ascii="游明朝" w:cs="游明朝" w:eastAsia="游明朝" w:hAnsi="游明朝"/>
                <w:b/>
                <w:bCs/>
                <w:color w:val="262626"/>
                <w:sz w:val="19"/>
                <w:szCs w:val="19"/>
              </w:rPr>
              <w:t xml:space="preserve">町条例・規則</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left"/>
            </w:pPr>
            <w:r>
              <w:rPr>
                <w:rFonts w:ascii="游明朝" w:cs="游明朝" w:eastAsia="游明朝" w:hAnsi="游明朝"/>
                <w:b w:val="false"/>
                <w:bCs w:val="false"/>
                <w:color w:val="262626"/>
                <w:sz w:val="19"/>
                <w:szCs w:val="19"/>
              </w:rPr>
              <w:t xml:space="preserve">川崎町介護保険条例（平成12年川崎町条例第1号）／川崎町介護保険運営委員会規則</w:t>
            </w:r>
          </w:p>
        </w:tc>
        <w:tc>
          <w:tcPr>
            <w:tcBorders>
              <w:top w:val="single" w:color="808080" w:sz="4"/>
              <w:left w:val="single" w:color="808080" w:sz="4"/>
              <w:bottom w:val="single" w:color="808080" w:sz="4"/>
              <w:right w:val="single" w:color="808080" w:sz="4"/>
            </w:tcBorders>
            <w:tcMar>
              <w:top w:type="dxa" w:w="60"/>
              <w:left w:type="dxa" w:w="110"/>
              <w:bottom w:type="dxa" w:w="60"/>
              <w:right w:type="dxa" w:w="110"/>
            </w:tcMar>
            <w:vAlign w:val="center"/>
          </w:tcPr>
          <w:p>
            <w:pPr>
              <w:jc w:val="center"/>
            </w:pPr>
            <w:r>
              <w:rPr>
                <w:rFonts w:ascii="游明朝" w:cs="游明朝" w:eastAsia="游明朝" w:hAnsi="游明朝"/>
                <w:b w:val="false"/>
                <w:bCs w:val="false"/>
                <w:color w:val="262626"/>
                <w:sz w:val="19"/>
                <w:szCs w:val="19"/>
              </w:rPr>
              <w:t xml:space="preserve"/>
            </w:r>
          </w:p>
        </w:tc>
      </w:tr>
    </w:tbl>
    <w:p>
      <w:pPr>
        <w:spacing w:after="120"/>
      </w:pPr>
      <w:r>
        <w:rPr>
          <w:rFonts w:ascii="游明朝" w:cs="游明朝" w:eastAsia="游明朝" w:hAnsi="游明朝"/>
          <w:i/>
          <w:iCs/>
          <w:color w:val="808080"/>
          <w:sz w:val="17"/>
          <w:szCs w:val="17"/>
        </w:rPr>
        <w:t xml:space="preserve">※ 上記のうち町条例・規則の関係条文は資料1・資料2に抜粋を収録。</w:t>
      </w:r>
    </w:p>
    <w:p>
      <w:pPr>
        <w:pBdr>
          <w:top w:val="single" w:color="2E75B6" w:sz="6" w:space="6"/>
        </w:pBdr>
        <w:spacing w:before="300"/>
      </w:pPr>
      <w:r>
        <w:rPr>
          <w:rFonts w:ascii="游明朝" w:cs="游明朝" w:eastAsia="游明朝" w:hAnsi="游明朝"/>
          <w:i/>
          <w:iCs/>
          <w:color w:val="808080"/>
          <w:sz w:val="18"/>
          <w:szCs w:val="18"/>
        </w:rPr>
        <w:t xml:space="preserve">以上。資料1〜4は前回（第9期）資料編に準拠した基本構成であり、条例・規則は現行版との照合、委員名簿・策定経過は委嘱・策定の進捗に応じて確定します。資料5〜6は住民利便のための任意追加提案であり、前回どおり簡素な構成とする場合は資料1〜4のみで完結します。なお、計画書本文v1.6は審議組織を「策定委員会」と表記しているため、町の実態（介護保険運営委員会）に合わせ本文・委員会関係成果物の名称統一が別途必要です。</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明朝" w:cs="游明朝" w:eastAsia="游明朝" w:hAnsi="游明朝"/>
        <w:color w:val="808080"/>
        <w:sz w:val="16"/>
        <w:szCs w:val="16"/>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4" w:space="4"/>
      </w:pBdr>
      <w:jc w:val="right"/>
    </w:pPr>
    <w:r>
      <w:rPr>
        <w:rFonts w:ascii="游ゴシック" w:cs="游ゴシック" w:eastAsia="游ゴシック" w:hAnsi="游ゴシック"/>
        <w:color w:val="808080"/>
        <w:sz w:val="15"/>
        <w:szCs w:val="15"/>
      </w:rPr>
      <w:t xml:space="preserve">川崎町 第10期計画　資料編 構成案・素案（第9期準拠版）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2026-06-29T10:01:22.435Z</dcterms:created>
  <dcterms:modified xsi:type="dcterms:W3CDTF">2026-06-29T10:01:22.436Z</dcterms:modified>
</cp:coreProperties>
</file>

<file path=docProps/custom.xml><?xml version="1.0" encoding="utf-8"?>
<Properties xmlns="http://schemas.openxmlformats.org/officeDocument/2006/custom-properties" xmlns:vt="http://schemas.openxmlformats.org/officeDocument/2006/docPropsVTypes"/>
</file>