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492</w:t>
            </w:r>
          </w:p>
        </w:tc>
        <w:tc>
          <w:tcPr>
            <w:tcW w:w="700" w:type="dxa"/>
          </w:tcPr>
          <w:p>
            <w:pPr>
              <w:spacing w:after="0"/>
            </w:pPr>
            <w:r>
              <w:rPr>
                <w:rFonts w:ascii="BIZ UDPゴシック" w:hAnsi="BIZ UDPゴシック" w:eastAsia="BIZ UDPゴシック"/>
                <w:b w:val="0"/>
                <w:sz w:val="18"/>
              </w:rPr>
              <w:t>152</w:t>
            </w:r>
          </w:p>
        </w:tc>
        <w:tc>
          <w:tcPr>
            <w:tcW w:w="900" w:type="dxa"/>
          </w:tcPr>
          <w:p>
            <w:pPr>
              <w:spacing w:after="0"/>
            </w:pPr>
            <w:r>
              <w:rPr>
                <w:rFonts w:ascii="BIZ UDPゴシック" w:hAnsi="BIZ UDPゴシック" w:eastAsia="BIZ UDPゴシック"/>
                <w:b w:val="0"/>
                <w:sz w:val="18"/>
              </w:rPr>
              <w:t>118</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f2dcef2150d4</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16件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9件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14件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見出しは57件から118件へ、表は54件から152件へ増えています。新たに設けた章節は74件、見出しの文字が変わった（主に節番号の繰り下げによる）ものが14件です。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生成器に記録された67件です。黄のマーカーが国・県の指針との不整合の是正、緑のマーカーがKPI・目標設定・課題・見込量の修正です。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第1章4</w:t>
            </w:r>
          </w:p>
        </w:tc>
        <w:tc>
          <w:tcPr>
            <w:tcW w:w="5800" w:type="dxa"/>
          </w:tcPr>
          <w:p>
            <w:pPr>
              <w:spacing w:after="0"/>
            </w:pPr>
            <w:r>
              <w:rPr>
                <w:rFonts w:ascii="BIZ UDPゴシック" w:hAnsi="BIZ UDPゴシック" w:eastAsia="BIZ UDPゴシック"/>
                <w:b w:val="0"/>
                <w:sz w:val="18"/>
                <w:highlight w:val="yellow"/>
              </w:rPr>
              <w:t>告示後の追加改正が令和8年10月に告示予定であり、最終案の確定前に点検する旨を注記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第5章8</w:t>
            </w:r>
          </w:p>
        </w:tc>
        <w:tc>
          <w:tcPr>
            <w:tcW w:w="5800" w:type="dxa"/>
          </w:tcPr>
          <w:p>
            <w:pPr>
              <w:spacing w:after="0"/>
            </w:pPr>
            <w:r>
              <w:rPr>
                <w:rFonts w:ascii="BIZ UDPゴシック" w:hAnsi="BIZ UDPゴシック" w:eastAsia="BIZ UDPゴシック"/>
                <w:b w:val="0"/>
                <w:sz w:val="18"/>
              </w:rPr>
              <w:t>「■　確保可能量を決める要素」を新設（相談支援の体制・事業所の受入余力・送迎と移動・事業の継続性）</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第5章7</w:t>
            </w:r>
          </w:p>
        </w:tc>
        <w:tc>
          <w:tcPr>
            <w:tcW w:w="5800" w:type="dxa"/>
          </w:tcPr>
          <w:p>
            <w:pPr>
              <w:spacing w:after="0"/>
            </w:pPr>
            <w:r>
              <w:rPr>
                <w:rFonts w:ascii="BIZ UDPゴシック" w:hAnsi="BIZ UDPゴシック" w:eastAsia="BIZ UDPゴシック"/>
                <w:b w:val="0"/>
                <w:sz w:val="18"/>
                <w:highlight w:val="green"/>
              </w:rPr>
              <w:t>障がい児通所支援の支給決定は5領域20項目によること、障がい児支援区分1〜3は短期入所に係る別制度であることを注記。見込量で勘案する事項（放課後児童クラブ・学校の受入状況ほか）を追加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42</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45</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50</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52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56</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57</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58</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w:t>
            </w:r>
          </w:p>
        </w:tc>
        <w:tc>
          <w:tcPr>
            <w:tcW w:w="5800" w:type="dxa"/>
          </w:tcPr>
          <w:p>
            <w:pPr>
              <w:spacing w:after="0"/>
            </w:pPr>
            <w:r>
              <w:rPr>
                <w:rFonts w:ascii="BIZ UDPゴシック" w:hAnsi="BIZ UDPゴシック" w:eastAsia="BIZ UDPゴシック"/>
                <w:b w:val="0"/>
                <w:sz w:val="18"/>
                <w:highlight w:val="green"/>
              </w:rPr>
              <w:t>成果目標の実績【要更新】6件を、村が公表した令和5〜7年度の進捗で埋めた（令和8年5月25日 北塩原村障がい者自立支援協議会の資料）。精神病床からの退院者数・就労定着支援・基幹相談支援センターは令和7年度まで未達、一般就労移行と県研修への参加は達成</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59</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第4章（１）</w:t>
            </w:r>
          </w:p>
        </w:tc>
        <w:tc>
          <w:tcPr>
            <w:tcW w:w="5800" w:type="dxa"/>
          </w:tcPr>
          <w:p>
            <w:pPr>
              <w:spacing w:after="0"/>
            </w:pPr>
            <w:r>
              <w:rPr>
                <w:rFonts w:ascii="BIZ UDPゴシック" w:hAnsi="BIZ UDPゴシック" w:eastAsia="BIZ UDPゴシック"/>
                <w:b w:val="0"/>
                <w:sz w:val="18"/>
                <w:highlight w:val="green"/>
              </w:rPr>
              <w:t>地域移行者数の目標値0人の根拠を、本人・家族の意向ほか6項目の確認に基づくものに改め、確認表を新設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60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第4章（２）</w:t>
            </w:r>
          </w:p>
        </w:tc>
        <w:tc>
          <w:tcPr>
            <w:tcW w:w="5800" w:type="dxa"/>
          </w:tcPr>
          <w:p>
            <w:pPr>
              <w:spacing w:after="0"/>
            </w:pPr>
            <w:r>
              <w:rPr>
                <w:rFonts w:ascii="BIZ UDPゴシック" w:hAnsi="BIZ UDPゴシック" w:eastAsia="BIZ UDPゴシック"/>
                <w:b w:val="0"/>
                <w:sz w:val="18"/>
                <w:highlight w:val="green"/>
              </w:rPr>
              <w:t>退院者1人の受け止め方（住まい・日中活動・相談支援）を見込量の行と対応させて明示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第4章（３）</w:t>
            </w:r>
          </w:p>
        </w:tc>
        <w:tc>
          <w:tcPr>
            <w:tcW w:w="5800" w:type="dxa"/>
          </w:tcPr>
          <w:p>
            <w:pPr>
              <w:spacing w:after="0"/>
            </w:pPr>
            <w:r>
              <w:rPr>
                <w:rFonts w:ascii="BIZ UDPゴシック" w:hAnsi="BIZ UDPゴシック" w:eastAsia="BIZ UDPゴシック"/>
                <w:b w:val="0"/>
                <w:sz w:val="18"/>
              </w:rPr>
              <w:t>一般就労中の一時的な就労系サービスの利用と復職支援を追加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62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令和8年8月19日の基本指針の改正を踏まえ、医療的ケア児等・重症心身障害児者について成人期への引継ぎ・家族の休息・災害時の医療の継続の3点を追加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63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第5章4</w:t>
            </w:r>
          </w:p>
        </w:tc>
        <w:tc>
          <w:tcPr>
            <w:tcW w:w="5800" w:type="dxa"/>
          </w:tcPr>
          <w:p>
            <w:pPr>
              <w:spacing w:after="0"/>
            </w:pPr>
            <w:r>
              <w:rPr>
                <w:rFonts w:ascii="BIZ UDPゴシック" w:hAnsi="BIZ UDPゴシック" w:eastAsia="BIZ UDPゴシック"/>
                <w:b w:val="0"/>
                <w:sz w:val="18"/>
                <w:highlight w:val="yellow"/>
              </w:rPr>
              <w:t>基本指針 別表第一 三が求める重度障がい者の内数（強度行動障害・高次脳機能障害・医療的ケア児等・重症心身障害児者の4区分）の表を新設し、医療型短期入所を0とする根拠を明示</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64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確保方策に4節を追加（事業所の受入余力の把握7項目、住まいの確保、供給が不足する場合の県への意見申出、中山間・人口減少地域の制度の活用）</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第5章11</w:t>
            </w:r>
          </w:p>
        </w:tc>
        <w:tc>
          <w:tcPr>
            <w:tcW w:w="5800" w:type="dxa"/>
          </w:tcPr>
          <w:p>
            <w:pPr>
              <w:spacing w:after="0"/>
            </w:pPr>
            <w:r>
              <w:rPr>
                <w:rFonts w:ascii="BIZ UDPゴシック" w:hAnsi="BIZ UDPゴシック" w:eastAsia="BIZ UDPゴシック"/>
                <w:b w:val="0"/>
                <w:sz w:val="18"/>
              </w:rPr>
              <w:t>災害時にサービスを止めないための備えと、虐待の予防から再発の防止までの6段階を新設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第5章13</w:t>
            </w:r>
          </w:p>
        </w:tc>
        <w:tc>
          <w:tcPr>
            <w:tcW w:w="5800" w:type="dxa"/>
          </w:tcPr>
          <w:p>
            <w:pPr>
              <w:spacing w:after="0"/>
            </w:pPr>
            <w:r>
              <w:rPr>
                <w:rFonts w:ascii="BIZ UDPゴシック" w:hAnsi="BIZ UDPゴシック" w:eastAsia="BIZ UDPゴシック"/>
                <w:b w:val="0"/>
                <w:sz w:val="18"/>
              </w:rPr>
              <w:t>意思決定支援を意思形成・意思表明・意思実現の3段階で整理し、経営基盤を供給制約として把握する6項目を新設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67</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第6章3</w:t>
            </w:r>
          </w:p>
        </w:tc>
        <w:tc>
          <w:tcPr>
            <w:tcW w:w="5800" w:type="dxa"/>
          </w:tcPr>
          <w:p>
            <w:pPr>
              <w:spacing w:after="0"/>
            </w:pPr>
            <w:r>
              <w:rPr>
                <w:rFonts w:ascii="BIZ UDPゴシック" w:hAnsi="BIZ UDPゴシック" w:eastAsia="BIZ UDPゴシック"/>
                <w:b w:val="0"/>
                <w:sz w:val="18"/>
              </w:rPr>
              <w:t>成年後見制度の見直し（令和8年6月公布の民法等改正。後見・保佐を補助に一元化）への対応を新設</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74件です。根拠は修正履歴の該当行をご覧ください。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推計対象の４層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必要量・確保可能量・不足量の区別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学校卒業に伴うサービスの移行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重度障がい者の内数</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確保可能量を決める要素</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事業所の受入余力の把握</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住まいの確保</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供給が不足する場合の県への意見申出</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中山間・人口減少地域の制度の活用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災害時にサービスを止めないための備え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虐待の予防から再発の防止まで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経営基盤を供給制約として見る</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制度の見直しへの対応</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