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-7（ニーズ調査）・2-8（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第4節 老人福祉に根拠となる例規が置かれていません。他の章（防災・保健衛生等）にあるとみられるため、根拠を村に確認します（5-12）。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2026-10-20T09:57:01.305Z</dcterms:created>
  <dcterms:modified xsi:type="dcterms:W3CDTF">2026-10-20T09:57:01.305Z</dcterms:modified>
</cp:coreProperties>
</file>

<file path=docProps/custom.xml><?xml version="1.0" encoding="utf-8"?>
<Properties xmlns="http://schemas.openxmlformats.org/officeDocument/2006/custom-properties" xmlns:vt="http://schemas.openxmlformats.org/officeDocument/2006/docPropsVTypes"/>
</file>