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00" w:lineRule="exact"/>
        <w:jc w:val="righ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令和8年10月7日</w:t>
      </w:r>
    </w:p>
    <w:p>
      <w:pPr>
        <w:spacing w:after="120" w:line="300" w:lineRule="exact"/>
      </w:pPr>
      <w:r>
        <w:rPr>
          <w:rFonts w:ascii="游ゴシック" w:cs="游ゴシック" w:eastAsia="游ゴシック" w:hAnsi="游ゴシック"/>
          <w:b/>
          <w:bCs/>
          <w:sz w:val="24"/>
          <w:szCs w:val="24"/>
        </w:rPr>
        <w:t xml:space="preserve">北塩原村役場　保健福祉課　福祉係　御中</w:t>
      </w:r>
    </w:p>
    <w:p>
      <w:pPr>
        <w:spacing w:after="400" w:line="300" w:lineRule="exact"/>
        <w:jc w:val="righ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ビズアップ公共コンサルティング株式会社</w:t>
      </w:r>
    </w:p>
    <w:p>
      <w:pPr>
        <w:spacing w:after="60" w:line="300" w:lineRule="exact"/>
        <w:jc w:val="center"/>
      </w:pPr>
      <w:r>
        <w:rPr>
          <w:rFonts w:ascii="游ゴシック" w:cs="游ゴシック" w:eastAsia="游ゴシック" w:hAnsi="游ゴシック"/>
          <w:b/>
          <w:bCs/>
          <w:color w:val="1F3864"/>
          <w:sz w:val="26"/>
          <w:szCs w:val="26"/>
        </w:rPr>
        <w:t xml:space="preserve">第10期北塩原村高齢者福祉計画・</w:t>
      </w:r>
    </w:p>
    <w:p>
      <w:pPr>
        <w:spacing w:after="120" w:line="300" w:lineRule="exact"/>
        <w:jc w:val="center"/>
      </w:pPr>
      <w:r>
        <w:rPr>
          <w:rFonts w:ascii="游ゴシック" w:cs="游ゴシック" w:eastAsia="游ゴシック" w:hAnsi="游ゴシック"/>
          <w:b/>
          <w:bCs/>
          <w:color w:val="1F3864"/>
          <w:sz w:val="26"/>
          <w:szCs w:val="26"/>
        </w:rPr>
        <w:t xml:space="preserve">第10期北塩原村介護保険事業計画策定業務</w:t>
      </w:r>
    </w:p>
    <w:p>
      <w:pPr>
        <w:spacing w:after="320" w:line="300" w:lineRule="exact"/>
        <w:jc w:val="center"/>
      </w:pPr>
      <w:r>
        <w:rPr>
          <w:rFonts w:ascii="游ゴシック" w:cs="游ゴシック" w:eastAsia="游ゴシック" w:hAnsi="游ゴシック"/>
          <w:b/>
          <w:bCs/>
          <w:color w:val="1F3864"/>
          <w:sz w:val="30"/>
          <w:szCs w:val="30"/>
        </w:rPr>
        <w:t xml:space="preserve">照会票　束5　計画構成と施策体系</w:t>
      </w:r>
    </w:p>
    <w:p>
      <w:pPr>
        <w:spacing w:after="280" w:line="300" w:lineRule="exact"/>
        <w:jc w:val="center"/>
      </w:pPr>
      <w:r>
        <w:rPr>
          <w:rFonts w:ascii="游ゴシック" w:cs="游ゴシック" w:eastAsia="游ゴシック" w:hAnsi="游ゴシック"/>
          <w:color w:val="595959"/>
          <w:sz w:val="22"/>
          <w:szCs w:val="22"/>
        </w:rPr>
        <w:t xml:space="preserve">ご確認・ご提供をお願いしたい事項　18件</w:t>
      </w:r>
    </w:p>
    <w:p>
      <w:pPr>
        <w:keepNext/>
        <w:spacing w:after="100" w:line="300" w:lineRule="exact"/>
      </w:pPr>
      <w:r>
        <w:rPr>
          <w:rFonts w:ascii="游ゴシック" w:cs="游ゴシック" w:eastAsia="游ゴシック" w:hAnsi="游ゴシック"/>
          <w:b/>
          <w:bCs/>
          <w:color w:val="1F3864"/>
          <w:sz w:val="22"/>
          <w:szCs w:val="22"/>
        </w:rPr>
        <w:t xml:space="preserve">このまとまりのねらい</w:t>
      </w:r>
    </w:p>
    <w:p>
      <w:pPr>
        <w:spacing w:after="240" w:line="300" w:lineRule="exact"/>
      </w:pPr>
      <w:r>
        <w:rPr>
          <w:rFonts w:ascii="游明朝" w:cs="游明朝" w:eastAsia="游明朝" w:hAnsi="游明朝"/>
          <w:sz w:val="21"/>
          <w:szCs w:val="21"/>
        </w:rPr>
        <w:t xml:space="preserve">基本理念の変更の有無、関連計画の策定状況、一体的策定の範囲を第2回策定委員会の審議事項として整理する。</w:t>
      </w:r>
    </w:p>
    <w:p>
      <w:pPr>
        <w:keepNext/>
        <w:spacing w:after="100" w:line="300" w:lineRule="exact"/>
      </w:pPr>
      <w:r>
        <w:rPr>
          <w:rFonts w:ascii="游ゴシック" w:cs="游ゴシック" w:eastAsia="游ゴシック" w:hAnsi="游ゴシック"/>
          <w:b/>
          <w:bCs/>
          <w:color w:val="1F3864"/>
          <w:sz w:val="22"/>
          <w:szCs w:val="22"/>
        </w:rPr>
        <w:t xml:space="preserve">ご回答の方法</w:t>
      </w:r>
    </w:p>
    <w:p>
      <w:pPr>
        <w:spacing w:after="100" w:line="300" w:lineRule="exact"/>
        <w:ind w:left="120"/>
      </w:pPr>
      <w:r>
        <w:rPr>
          <w:rFonts w:ascii="游明朝" w:cs="游明朝" w:eastAsia="游明朝" w:hAnsi="游明朝"/>
          <w:sz w:val="21"/>
          <w:szCs w:val="21"/>
        </w:rPr>
        <w:t xml:space="preserve">1　本票は、第10期計画の策定にあたり村にご確認・ご提供をお願いしたい事項を、まとまりごとに1通にまとめたものです。</w:t>
      </w:r>
    </w:p>
    <w:p>
      <w:pPr>
        <w:spacing w:after="100" w:line="300" w:lineRule="exact"/>
        <w:ind w:left="120"/>
      </w:pPr>
      <w:r>
        <w:rPr>
          <w:rFonts w:ascii="游明朝" w:cs="游明朝" w:eastAsia="游明朝" w:hAnsi="游明朝"/>
          <w:sz w:val="21"/>
          <w:szCs w:val="21"/>
        </w:rPr>
        <w:t xml:space="preserve">2　ご回答は、各表の右端の「ご回答」の欄にご記入のうえ、本ファイルをご返送ください。別紙やメール本文でのご回答でも差し支えありません。</w:t>
      </w:r>
    </w:p>
    <w:p>
      <w:pPr>
        <w:spacing w:after="100" w:line="300" w:lineRule="exact"/>
        <w:ind w:left="120"/>
      </w:pPr>
      <w:r>
        <w:rPr>
          <w:rFonts w:ascii="游明朝" w:cs="游明朝" w:eastAsia="游明朝" w:hAnsi="游明朝"/>
          <w:sz w:val="21"/>
          <w:szCs w:val="21"/>
        </w:rPr>
        <w:t xml:space="preserve">3　すべてにご回答いただく必要はありません。第1部からお願いできれば、以降の工程は当方で進めることができます。</w:t>
      </w:r>
    </w:p>
    <w:p>
      <w:pPr>
        <w:spacing w:after="100" w:line="300" w:lineRule="exact"/>
        <w:ind w:left="120"/>
      </w:pPr>
      <w:r>
        <w:rPr>
          <w:rFonts w:ascii="游明朝" w:cs="游明朝" w:eastAsia="游明朝" w:hAnsi="游明朝"/>
          <w:sz w:val="21"/>
          <w:szCs w:val="21"/>
        </w:rPr>
        <w:t xml:space="preserve">4　数値は、出所（どの資料の何年度のものか）を併せてお示しいただけますと、成果品に出所として記載できます。</w:t>
      </w:r>
    </w:p>
    <w:p>
      <w:pPr>
        <w:spacing w:after="100" w:line="300" w:lineRule="exact"/>
        <w:ind w:left="120"/>
      </w:pPr>
      <w:r>
        <w:rPr>
          <w:rFonts w:ascii="游明朝" w:cs="游明朝" w:eastAsia="游明朝" w:hAnsi="游明朝"/>
          <w:sz w:val="21"/>
          <w:szCs w:val="21"/>
        </w:rPr>
        <w:t xml:space="preserve">5　個人が特定される情報は不要です。集計された数値のみでお願いいたします。</w:t>
      </w:r>
    </w:p>
    <w:p>
      <w:pPr>
        <w:spacing w:after="160" w:line="300" w:lineRule="exact"/>
      </w:pPr>
      <w:r>
        <w:rPr>
          <w:rFonts w:ascii="游明朝" w:cs="游明朝" w:eastAsia="游明朝" w:hAnsi="游明朝"/>
          <w:sz w:val="21"/>
          <w:szCs w:val="21"/>
        </w:rPr>
        <w:t xml:space="preserve"/>
      </w:r>
    </w:p>
    <w:p>
      <w:pPr>
        <w:keepNext/>
        <w:spacing w:after="100" w:line="300" w:lineRule="exact"/>
      </w:pPr>
      <w:r>
        <w:rPr>
          <w:rFonts w:ascii="游ゴシック" w:cs="游ゴシック" w:eastAsia="游ゴシック" w:hAnsi="游ゴシック"/>
          <w:b/>
          <w:bCs/>
          <w:color w:val="1F3864"/>
          <w:sz w:val="22"/>
          <w:szCs w:val="22"/>
        </w:rPr>
        <w:t xml:space="preserve">確認事項の区分について</w:t>
      </w:r>
    </w:p>
    <w:p>
      <w:pPr>
        <w:spacing w:after="140" w:line="300" w:lineRule="exact"/>
      </w:pPr>
      <w:r>
        <w:rPr>
          <w:rFonts w:ascii="游明朝" w:cs="游明朝" w:eastAsia="游明朝" w:hAnsi="游明朝"/>
          <w:sz w:val="21"/>
          <w:szCs w:val="21"/>
        </w:rPr>
        <w:t xml:space="preserve">確認事項は3つに分けております。当方で確かめられることを村にお尋ねしないためです。本票に掲げるのはＣ・Ｄのみで、Ｂは末尾に「ご回答は不要です」として一覧で掲げております。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"/>
        <w:gridCol w:w="8424"/>
      </w:tblGrid>
      <w:tr>
        <w:trPr>
          <w:cantSplit/>
          <w:tblHeader/>
        </w:trPr>
        <w:tc>
          <w:tcPr>
            <w:tcW w:type="dxa" w:w="936"/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区分</w:t>
            </w:r>
          </w:p>
        </w:tc>
        <w:tc>
          <w:tcPr>
            <w:tcW w:type="dxa" w:w="8424"/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扱い</w:t>
            </w:r>
          </w:p>
        </w:tc>
      </w:tr>
      <w:tr>
        <w:trPr>
          <w:cantSplit/>
          <w:trHeight w:val="700" w:hRule="atLeast"/>
        </w:trPr>
        <w:tc>
          <w:tcPr>
            <w:tcW w:type="dxa" w:w="936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Ｂ</w:t>
            </w:r>
          </w:p>
        </w:tc>
        <w:tc>
          <w:tcPr>
            <w:tcW w:type="dxa" w:w="8424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当方で進めます。国・県の原典と公表資料で片がつくものです。ご回答は不要です（末尾に一覧）</w:t>
            </w:r>
          </w:p>
        </w:tc>
      </w:tr>
      <w:tr>
        <w:trPr>
          <w:cantSplit/>
          <w:trHeight w:val="700" w:hRule="atLeast"/>
        </w:trPr>
        <w:tc>
          <w:tcPr>
            <w:tcW w:type="dxa" w:w="936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Ｃ</w:t>
            </w:r>
          </w:p>
        </w:tc>
        <w:tc>
          <w:tcPr>
            <w:tcW w:type="dxa" w:w="8424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他の計画・公表資料で当方が先行して整理し、村固有の事実だけをお尋ねします</w:t>
            </w:r>
          </w:p>
        </w:tc>
      </w:tr>
      <w:tr>
        <w:trPr>
          <w:cantSplit/>
          <w:trHeight w:val="700" w:hRule="atLeast"/>
        </w:trPr>
        <w:tc>
          <w:tcPr>
            <w:tcW w:type="dxa" w:w="936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Ｄ</w:t>
            </w:r>
          </w:p>
        </w:tc>
        <w:tc>
          <w:tcPr>
            <w:tcW w:type="dxa" w:w="8424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村の決算・実績・内部データ・ご判断でなければ分からない事項です</w:t>
            </w:r>
          </w:p>
        </w:tc>
      </w:tr>
    </w:tbl>
    <w:p>
      <w:pPr>
        <w:spacing w:after="200" w:line="300" w:lineRule="exact"/>
      </w:pPr>
      <w:r>
        <w:rPr>
          <w:rFonts w:ascii="游明朝" w:cs="游明朝" w:eastAsia="游明朝" w:hAnsi="游明朝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23"/>
        <w:gridCol w:w="6552"/>
        <w:gridCol w:w="1685"/>
      </w:tblGrid>
      <w:tr>
        <w:trPr>
          <w:cantSplit/>
          <w:tblHeader/>
        </w:trPr>
        <w:tc>
          <w:tcPr>
            <w:tcW w:type="dxa" w:w="1123"/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部</w:t>
            </w:r>
          </w:p>
        </w:tc>
        <w:tc>
          <w:tcPr>
            <w:tcW w:type="dxa" w:w="6552"/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内容</w:t>
            </w:r>
          </w:p>
        </w:tc>
        <w:tc>
          <w:tcPr>
            <w:tcW w:type="dxa" w:w="1685"/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件数</w:t>
            </w:r>
          </w:p>
        </w:tc>
      </w:tr>
      <w:tr>
        <w:trPr>
          <w:cantSplit/>
          <w:trHeight w:val="700" w:hRule="atLeast"/>
        </w:trPr>
        <w:tc>
          <w:tcPr>
            <w:tcW w:type="dxa" w:w="1123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第3部</w:t>
            </w:r>
          </w:p>
        </w:tc>
        <w:tc>
          <w:tcPr>
            <w:tcW w:type="dxa" w:w="6552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【記載待ち】文言や施策の内容が変わる事項</w:t>
            </w:r>
          </w:p>
        </w:tc>
        <w:tc>
          <w:tcPr>
            <w:tcW w:type="dxa" w:w="1685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6件</w:t>
            </w:r>
          </w:p>
        </w:tc>
      </w:tr>
      <w:tr>
        <w:trPr>
          <w:cantSplit/>
          <w:trHeight w:val="700" w:hRule="atLeast"/>
        </w:trPr>
        <w:tc>
          <w:tcPr>
            <w:tcW w:type="dxa" w:w="1123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第5部</w:t>
            </w:r>
          </w:p>
        </w:tc>
        <w:tc>
          <w:tcPr>
            <w:tcW w:type="dxa" w:w="6552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資料のご提供をお願いしたい事項</w:t>
            </w:r>
          </w:p>
        </w:tc>
        <w:tc>
          <w:tcPr>
            <w:tcW w:type="dxa" w:w="1685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12件</w:t>
            </w:r>
          </w:p>
        </w:tc>
      </w:tr>
    </w:tbl>
    <w:p>
      <w:r>
        <w:br w:type="page"/>
      </w:r>
    </w:p>
    <w:p>
      <w:pPr>
        <w:pStyle w:val="Heading1"/>
        <w:keepNext/>
        <w:shd w:fill="1F3864" w:val="clear"/>
        <w:spacing w:after="240" w:before="0"/>
      </w:pPr>
      <w:r>
        <w:rPr>
          <w:rFonts w:ascii="游ゴシック" w:cs="游ゴシック" w:eastAsia="游ゴシック" w:hAnsi="游ゴシック"/>
          <w:b/>
          <w:bCs/>
          <w:color w:val="FFFFFF"/>
          <w:sz w:val="26"/>
          <w:szCs w:val="26"/>
        </w:rPr>
        <w:t xml:space="preserve">第3部　【記載待ち】文言や施策の内容が変わる事項</w:t>
      </w:r>
    </w:p>
    <w:p>
      <w:pPr>
        <w:keepNext/>
        <w:pBdr>
          <w:left w:val="single" w:color="C00000" w:sz="18" w:space="8"/>
        </w:pBdr>
        <w:shd w:fill="FFF3F3" w:val="clear"/>
        <w:spacing w:after="220" w:before="60" w:line="280" w:lineRule="exact"/>
        <w:ind w:left="200" w:right="200"/>
      </w:pPr>
      <w:r>
        <w:rPr>
          <w:rFonts w:ascii="游ゴシック" w:cs="游ゴシック" w:eastAsia="游ゴシック" w:hAnsi="游ゴシック"/>
          <w:color w:val="595959"/>
          <w:sz w:val="18"/>
          <w:szCs w:val="18"/>
        </w:rPr>
        <w:t xml:space="preserve">記載そのものは済んでおり、数値は動きません。ご回答により文言または施策の内容が変わります。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"/>
        <w:gridCol w:w="3089"/>
        <w:gridCol w:w="2714"/>
        <w:gridCol w:w="1217"/>
        <w:gridCol w:w="1872"/>
      </w:tblGrid>
      <w:tr>
        <w:trPr>
          <w:cantSplit/>
          <w:tblHeader/>
        </w:trPr>
        <w:tc>
          <w:tcPr>
            <w:tcW w:type="dxa" w:w="468"/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#
区分</w:t>
            </w:r>
          </w:p>
        </w:tc>
        <w:tc>
          <w:tcPr>
            <w:tcW w:type="dxa" w:w="3089"/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ご確認・ご提供をお願いしたいこと</w:t>
            </w:r>
          </w:p>
        </w:tc>
        <w:tc>
          <w:tcPr>
            <w:tcW w:type="dxa" w:w="2714"/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当方の現在の扱い</w:t>
            </w:r>
          </w:p>
        </w:tc>
        <w:tc>
          <w:tcPr>
            <w:tcW w:type="dxa" w:w="1217"/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ご回答が必要な時期</w:t>
            </w:r>
          </w:p>
        </w:tc>
        <w:tc>
          <w:tcPr>
            <w:tcW w:type="dxa" w:w="1872"/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ご回答</w:t>
            </w:r>
          </w:p>
        </w:tc>
      </w:tr>
      <w:tr>
        <w:trPr>
          <w:cantSplit/>
          <w:trHeight w:val="700" w:hRule="atLeast"/>
        </w:trPr>
        <w:tc>
          <w:tcPr>
            <w:tcW w:type="dxa" w:w="468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1
Ｄ</w:t>
            </w:r>
          </w:p>
        </w:tc>
        <w:tc>
          <w:tcPr>
            <w:tcW w:type="dxa" w:w="3089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基本理念を第9期から変更するかどうかの村の意向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第9期の基本理念を踏襲して記載している。変更するなら3-1から3-4までの体系が連動して変わる。</w:t>
            </w:r>
          </w:p>
        </w:tc>
        <w:tc>
          <w:tcPr>
            <w:tcW w:type="dxa" w:w="1217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10月下旬（第2回策定委員会の審議事項）</w:t>
            </w:r>
          </w:p>
        </w:tc>
        <w:tc>
          <w:tcPr>
            <w:tcW w:type="dxa" w:w="1872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468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2
Ｄ</w:t>
            </w:r>
          </w:p>
        </w:tc>
        <w:tc>
          <w:tcPr>
            <w:tcW w:type="dxa" w:w="3089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成年後見制度の市町村計画を第10期でも一体で策定するか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第9期と同じく一体で策定する前提で記載している。分離するなら1-2の法的根拠と第4章の構成が変わる。</w:t>
            </w:r>
          </w:p>
        </w:tc>
        <w:tc>
          <w:tcPr>
            <w:tcW w:type="dxa" w:w="1217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10月下旬</w:t>
            </w:r>
          </w:p>
        </w:tc>
        <w:tc>
          <w:tcPr>
            <w:tcW w:type="dxa" w:w="1872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468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3
Ｄ</w:t>
            </w:r>
          </w:p>
        </w:tc>
        <w:tc>
          <w:tcPr>
            <w:tcW w:type="dxa" w:w="3089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第五次生涯学習推進計画（2028年度〜）の策定予定時期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第四次生涯学習推進計画（受領済）との整合を記載している。第五次の策定予定時期がわかれば計画期間の重なりを書ける。</w:t>
            </w:r>
          </w:p>
        </w:tc>
        <w:tc>
          <w:tcPr>
            <w:tcW w:type="dxa" w:w="1217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11月</w:t>
            </w:r>
          </w:p>
        </w:tc>
        <w:tc>
          <w:tcPr>
            <w:tcW w:type="dxa" w:w="1872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468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4
Ｄ</w:t>
            </w:r>
          </w:p>
        </w:tc>
        <w:tc>
          <w:tcPr>
            <w:tcW w:type="dxa" w:w="3089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第六次総合振興計画（2027年度〜）の策定状況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第五次総合振興計画（2017〜2026年度）との整合を記載している。第六次が第10期の上位計画になるため策定状況の記載が必要。</w:t>
            </w:r>
          </w:p>
        </w:tc>
        <w:tc>
          <w:tcPr>
            <w:tcW w:type="dxa" w:w="1217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11月</w:t>
            </w:r>
          </w:p>
        </w:tc>
        <w:tc>
          <w:tcPr>
            <w:tcW w:type="dxa" w:w="1872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468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5
Ｄ</w:t>
            </w:r>
          </w:p>
        </w:tc>
        <w:tc>
          <w:tcPr>
            <w:tcW w:type="dxa" w:w="3089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計画の進捗管理（目標Ⅰの3項目）が令和7年度0点から令和8年度48点満点になった根拠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目標Ⅰが令和7年度0点から令和8年度48点満点になった事実を記載している。根拠がわかれば第10期の進捗管理の仕組みに織り込める。</w:t>
            </w:r>
          </w:p>
        </w:tc>
        <w:tc>
          <w:tcPr>
            <w:tcW w:type="dxa" w:w="1217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10月下旬</w:t>
            </w:r>
          </w:p>
        </w:tc>
        <w:tc>
          <w:tcPr>
            <w:tcW w:type="dxa" w:w="1872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468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6
Ｄ</w:t>
            </w:r>
          </w:p>
        </w:tc>
        <w:tc>
          <w:tcPr>
            <w:tcW w:type="dxa" w:w="3089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計画書の分量を仕様書の目安100頁に収めるための削減案（A〜N）の採否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計画書は本文129頁＋前付4頁＝133頁で、目安100頁を33頁上回る（10/20に実測）。削減案13案のうち、A〜Eで125頁、＋F・Hで123頁、＋Jで120頁、A〜Lで117頁、＋Mで116頁、＋Nで115頁になる。当方からは13案すべて（115頁）を勧めたい。A〜Mまででは許容115頁を1頁超える。</w:t>
            </w:r>
          </w:p>
        </w:tc>
        <w:tc>
          <w:tcPr>
            <w:tcW w:type="dxa" w:w="1217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10月下旬（第2回策定委員会の審議事項）</w:t>
            </w:r>
          </w:p>
        </w:tc>
        <w:tc>
          <w:tcPr>
            <w:tcW w:type="dxa" w:w="1872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  <w:shd w:fill="1F3864" w:val="clear"/>
        <w:spacing w:after="240" w:before="0"/>
      </w:pPr>
      <w:r>
        <w:rPr>
          <w:rFonts w:ascii="游ゴシック" w:cs="游ゴシック" w:eastAsia="游ゴシック" w:hAnsi="游ゴシック"/>
          <w:b/>
          <w:bCs/>
          <w:color w:val="FFFFFF"/>
          <w:sz w:val="26"/>
          <w:szCs w:val="26"/>
        </w:rPr>
        <w:t xml:space="preserve">第5部　資料のご提供をお願いしたい事項</w:t>
      </w:r>
    </w:p>
    <w:p>
      <w:pPr>
        <w:keepNext/>
        <w:pBdr>
          <w:left w:val="single" w:color="C00000" w:sz="18" w:space="8"/>
        </w:pBdr>
        <w:shd w:fill="FFF3F3" w:val="clear"/>
        <w:spacing w:after="220" w:before="60" w:line="280" w:lineRule="exact"/>
        <w:ind w:left="200" w:right="200"/>
      </w:pPr>
      <w:r>
        <w:rPr>
          <w:rFonts w:ascii="游ゴシック" w:cs="游ゴシック" w:eastAsia="游ゴシック" w:hAnsi="游ゴシック"/>
          <w:color w:val="595959"/>
          <w:sz w:val="18"/>
          <w:szCs w:val="18"/>
        </w:rPr>
        <w:t xml:space="preserve">既存の資料をそのままお送りいただければ結構です。作成をお願いするものではありません。お手元にないものは「なし」とご記入ください。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"/>
        <w:gridCol w:w="3089"/>
        <w:gridCol w:w="2714"/>
        <w:gridCol w:w="1217"/>
        <w:gridCol w:w="1872"/>
      </w:tblGrid>
      <w:tr>
        <w:trPr>
          <w:cantSplit/>
          <w:tblHeader/>
        </w:trPr>
        <w:tc>
          <w:tcPr>
            <w:tcW w:type="dxa" w:w="468"/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#
区分</w:t>
            </w:r>
          </w:p>
        </w:tc>
        <w:tc>
          <w:tcPr>
            <w:tcW w:type="dxa" w:w="3089"/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ご確認・ご提供をお願いしたいこと</w:t>
            </w:r>
          </w:p>
        </w:tc>
        <w:tc>
          <w:tcPr>
            <w:tcW w:type="dxa" w:w="2714"/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当方の現在の扱い</w:t>
            </w:r>
          </w:p>
        </w:tc>
        <w:tc>
          <w:tcPr>
            <w:tcW w:type="dxa" w:w="1217"/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ご回答が必要な時期</w:t>
            </w:r>
          </w:p>
        </w:tc>
        <w:tc>
          <w:tcPr>
            <w:tcW w:type="dxa" w:w="1872"/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ご回答</w:t>
            </w:r>
          </w:p>
        </w:tc>
      </w:tr>
      <w:tr>
        <w:trPr>
          <w:cantSplit/>
          <w:trHeight w:val="700" w:hRule="atLeast"/>
        </w:trPr>
        <w:tc>
          <w:tcPr>
            <w:tcW w:type="dxa" w:w="468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1
Ｄ</w:t>
            </w:r>
          </w:p>
        </w:tc>
        <w:tc>
          <w:tcPr>
            <w:tcW w:type="dxa" w:w="3089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基本理念・基本目標の枠組みを第9期から継承することの可否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素案は継承を前提に構成。変更する場合は第3章・第4章の全面的な組み替えが必要になる。</w:t>
            </w:r>
          </w:p>
        </w:tc>
        <w:tc>
          <w:tcPr>
            <w:tcW w:type="dxa" w:w="1217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―</w:t>
            </w:r>
          </w:p>
        </w:tc>
        <w:tc>
          <w:tcPr>
            <w:tcW w:type="dxa" w:w="1872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468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2
Ｄ</w:t>
            </w:r>
          </w:p>
        </w:tc>
        <w:tc>
          <w:tcPr>
            <w:tcW w:type="dxa" w:w="3089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基本目標5「計画の推進と進捗管理」を独立させるか、各基本目標に横断的に組み込むか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第9期で3年連続0点だったPDCAへの対応。独立を推奨するが構成上の選択であり村の意向による。</w:t>
            </w:r>
          </w:p>
        </w:tc>
        <w:tc>
          <w:tcPr>
            <w:tcW w:type="dxa" w:w="1217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―</w:t>
            </w:r>
          </w:p>
        </w:tc>
        <w:tc>
          <w:tcPr>
            <w:tcW w:type="dxa" w:w="1872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468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3
Ｃ</w:t>
            </w:r>
          </w:p>
        </w:tc>
        <w:tc>
          <w:tcPr>
            <w:tcW w:type="dxa" w:w="3089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定住自立圏（喜多方市・西会津町）／会津権利擁護・成年後見センターとの広域連携の記載方針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施策の書きぶりに影響。</w:t>
            </w:r>
          </w:p>
        </w:tc>
        <w:tc>
          <w:tcPr>
            <w:tcW w:type="dxa" w:w="1217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―</w:t>
            </w:r>
          </w:p>
        </w:tc>
        <w:tc>
          <w:tcPr>
            <w:tcW w:type="dxa" w:w="1872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468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4
Ｃ</w:t>
            </w:r>
          </w:p>
        </w:tc>
        <w:tc>
          <w:tcPr>
            <w:tcW w:type="dxa" w:w="3089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整合を図る関連計画の網羅（障がい福祉計画・障がい者計画・地域福祉計画等）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資料には基本指針・第5次総合振興計画・第3次健康21のみ記載。</w:t>
            </w:r>
          </w:p>
        </w:tc>
        <w:tc>
          <w:tcPr>
            <w:tcW w:type="dxa" w:w="1217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―</w:t>
            </w:r>
          </w:p>
        </w:tc>
        <w:tc>
          <w:tcPr>
            <w:tcW w:type="dxa" w:w="1872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468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5
Ｄ</w:t>
            </w:r>
          </w:p>
        </w:tc>
        <w:tc>
          <w:tcPr>
            <w:tcW w:type="dxa" w:w="3089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施設サービスの記載を「村外施設サービスの利用支援」に改めることの可否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村内に該当施設がゼロ。第9期は特養〜介護医療院の4類型を列挙する記載で実態と乖離していた。</w:t>
            </w:r>
          </w:p>
        </w:tc>
        <w:tc>
          <w:tcPr>
            <w:tcW w:type="dxa" w:w="1217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―</w:t>
            </w:r>
          </w:p>
        </w:tc>
        <w:tc>
          <w:tcPr>
            <w:tcW w:type="dxa" w:w="1872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468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6
Ｃ</w:t>
            </w:r>
          </w:p>
        </w:tc>
        <w:tc>
          <w:tcPr>
            <w:tcW w:type="dxa" w:w="3089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福島県の介護人材需給推計への本村の関わり方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本村の見込量が福島県の介護人材需給推計に用いられる時期と、県から本村への照会の有無をご確認いただきたい。10/15 起票：全国介護保険担当課長会議資料（令和8年7月15日）および第9期計画に基づく介護職員の必要数（別紙5）を受領した。</w:t>
            </w:r>
          </w:p>
        </w:tc>
        <w:tc>
          <w:tcPr>
            <w:tcW w:type="dxa" w:w="1217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―</w:t>
            </w:r>
          </w:p>
        </w:tc>
        <w:tc>
          <w:tcPr>
            <w:tcW w:type="dxa" w:w="1872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468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7
Ｄ</w:t>
            </w:r>
          </w:p>
        </w:tc>
        <w:tc>
          <w:tcPr>
            <w:tcW w:type="dxa" w:w="3089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章構成を第9期（全6章＋資料編）から踏襲することの可否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素案は踏襲を前提。第2章に「2-8 保険者機能の評価」「2-9 第9期計画の進捗と評価」の2節を新設している。</w:t>
            </w:r>
          </w:p>
        </w:tc>
        <w:tc>
          <w:tcPr>
            <w:tcW w:type="dxa" w:w="1217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―</w:t>
            </w:r>
          </w:p>
        </w:tc>
        <w:tc>
          <w:tcPr>
            <w:tcW w:type="dxa" w:w="1872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468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8
Ｃ</w:t>
            </w:r>
          </w:p>
        </w:tc>
        <w:tc>
          <w:tcPr>
            <w:tcW w:type="dxa" w:w="3089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第四次生涯学習推進計画の目標値の直近実績（中間評価の有無・結果）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10年計画（2018〜2027年度）の中間年は2022年度。第10期計画に引用可能か。</w:t>
            </w:r>
          </w:p>
        </w:tc>
        <w:tc>
          <w:tcPr>
            <w:tcW w:type="dxa" w:w="1217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―</w:t>
            </w:r>
          </w:p>
        </w:tc>
        <w:tc>
          <w:tcPr>
            <w:tcW w:type="dxa" w:w="1872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468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9
Ｃ</w:t>
            </w:r>
          </w:p>
        </w:tc>
        <w:tc>
          <w:tcPr>
            <w:tcW w:type="dxa" w:w="3089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計画書・報告書の頁数の実測（Word＋游ゴシックで開いた実際の頁数）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計画書・報告書をWordで開いた実際の頁数をご確認いただきたい。</w:t>
            </w:r>
          </w:p>
        </w:tc>
        <w:tc>
          <w:tcPr>
            <w:tcW w:type="dxa" w:w="1217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―</w:t>
            </w:r>
          </w:p>
        </w:tc>
        <w:tc>
          <w:tcPr>
            <w:tcW w:type="dxa" w:w="1872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468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10
Ｄ</w:t>
            </w:r>
          </w:p>
        </w:tc>
        <w:tc>
          <w:tcPr>
            <w:tcW w:type="dxa" w:w="3089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計画本文に第9期の推計乖離（第1号被保険者数6.6%）を記載することの可否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素案の2-9・5-1に記載。次期計画で本計画の推計精度を検証できるようにする趣旨だが、自らの誤差を公表することになるため村の判断を要する。</w:t>
            </w:r>
          </w:p>
        </w:tc>
        <w:tc>
          <w:tcPr>
            <w:tcW w:type="dxa" w:w="1217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―</w:t>
            </w:r>
          </w:p>
        </w:tc>
        <w:tc>
          <w:tcPr>
            <w:tcW w:type="dxa" w:w="1872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468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11
Ｄ</w:t>
            </w:r>
          </w:p>
        </w:tc>
        <w:tc>
          <w:tcPr>
            <w:tcW w:type="dxa" w:w="3089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認知症施策推進計画・成年後見制度利用促進基本計画の一体化を第10期も踏襲するか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第9期は基本目標4に内包する構成。素案は踏襲を前提に1-2で法的根拠を記載している。</w:t>
            </w:r>
          </w:p>
        </w:tc>
        <w:tc>
          <w:tcPr>
            <w:tcW w:type="dxa" w:w="1217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―</w:t>
            </w:r>
          </w:p>
        </w:tc>
        <w:tc>
          <w:tcPr>
            <w:tcW w:type="dxa" w:w="1872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468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12
Ｄ</w:t>
            </w:r>
          </w:p>
        </w:tc>
        <w:tc>
          <w:tcPr>
            <w:tcW w:type="dxa" w:w="3089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計画書の判型・レイアウト・表紙デザインの踏襲可否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第9期はA4・本文104頁・全6章＋資料編。</w:t>
            </w:r>
          </w:p>
        </w:tc>
        <w:tc>
          <w:tcPr>
            <w:tcW w:type="dxa" w:w="1217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―</w:t>
            </w:r>
          </w:p>
        </w:tc>
        <w:tc>
          <w:tcPr>
            <w:tcW w:type="dxa" w:w="1872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spacing w:after="200" w:line="300" w:lineRule="exact"/>
      </w:pPr>
      <w:r>
        <w:rPr>
          <w:rFonts w:ascii="游ゴシック" w:cs="游ゴシック" w:eastAsia="游ゴシック" w:hAnsi="游ゴシック"/>
          <w:b/>
          <w:bCs/>
          <w:color w:val="1F3864"/>
          <w:sz w:val="24"/>
          <w:szCs w:val="24"/>
        </w:rPr>
        <w:t xml:space="preserve">お問い合わせ・ご返送先</w:t>
      </w:r>
    </w:p>
    <w:p>
      <w:pPr>
        <w:spacing w:after="6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ビズアップ公共コンサルティング株式会社</w:t>
      </w:r>
    </w:p>
    <w:p>
      <w:pPr>
        <w:spacing w:after="24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第10期北塩原村高齢者福祉計画・介護保険事業計画策定業務　担当</w:t>
      </w:r>
    </w:p>
    <w:p>
      <w:pPr>
        <w:spacing w:after="120" w:line="300" w:lineRule="exact"/>
      </w:pPr>
      <w:r>
        <w:rPr>
          <w:rFonts w:ascii="游明朝" w:cs="游明朝" w:eastAsia="游明朝" w:hAnsi="游明朝"/>
          <w:sz w:val="21"/>
          <w:szCs w:val="21"/>
        </w:rPr>
        <w:t xml:space="preserve">本票の「#」は、各部の中での通し番号です。ご回答の際は「部」と「#」をお示しいただけますと助かります。</w:t>
      </w:r>
    </w:p>
    <w:p>
      <w:pPr>
        <w:spacing w:after="120" w:line="300" w:lineRule="exact"/>
      </w:pPr>
      <w:r>
        <w:rPr>
          <w:rFonts w:ascii="游明朝" w:cs="游明朝" w:eastAsia="游明朝" w:hAnsi="游明朝"/>
          <w:sz w:val="21"/>
          <w:szCs w:val="21"/>
        </w:rPr>
        <w:t xml:space="preserve">様式や記入の仕方についてのご相談も承ります。お手元にない資料は「なし」とご記入いただければ、当方で代わりの手だてを検討します。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游ゴシック" w:cs="游ゴシック" w:eastAsia="游ゴシック" w:hAnsi="游ゴシック"/>
        <w:color w:val="595959"/>
        <w:sz w:val="18"/>
        <w:szCs w:val="18"/>
      </w:rPr>
      <w:t xml:space="preserve">束5　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明朝" w:cs="游明朝" w:eastAsia="游明朝" w:hAnsi="游明朝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游ゴシック" w:cs="游ゴシック" w:eastAsia="游ゴシック" w:hAnsi="游ゴシック"/>
      <w:b/>
      <w:bCs/>
      <w:color w:val="FFFFFF"/>
      <w:sz w:val="26"/>
      <w:szCs w:val="2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2026-10-20T10:07:46.854Z</dcterms:created>
  <dcterms:modified xsi:type="dcterms:W3CDTF">2026-10-20T10:07:46.854Z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