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75歳以上は、東川町が実績の方が速く増えているため上方に（3年で＋3.2％）、東神楽町は社人研の方が速く見込んでいるため下方に（3年で▲4.2％）補正する方向です。美瑛町は判定の境界にあります。3町計で下方の補正が生じる原因は、実質的に東神楽町にあります。</w:t>
      </w:r>
    </w:p>
    <w:p>
      <w:pPr>
        <w:spacing w:after="160"/>
      </w:pPr>
      <w:r>
        <w:rPr>
          <w:rFonts w:ascii="游ゴシック" w:hAnsi="游ゴシック" w:eastAsia="游ゴシック"/>
          <w:b w:val="0"/>
          <w:sz w:val="17"/>
        </w:rPr>
        <w:t>［要確認］社人研推計の町別75歳以上は、令和2年国勢調査の町別75歳以上を起点に3町計の後期高齢者比の推移で按分した推計値であり、公表値ではありません。町別の補正の向きは、社人研の市区町村別・男女5歳階級別表の取得までは暫定です。また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32" name="Picture 32"/>
            <wp:cNvGraphicFramePr>
              <a:graphicFrameLocks noChangeAspect="1"/>
            </wp:cNvGraphicFramePr>
            <a:graphic>
              <a:graphicData uri="http://schemas.openxmlformats.org/drawingml/2006/picture">
                <pic:pic>
                  <pic:nvPicPr>
                    <pic:cNvPr id="0" name="fig26_1_kofukin.png"/>
                    <pic:cNvPicPr/>
                  </pic:nvPicPr>
                  <pic:blipFill>
                    <a:blip r:embed="rId40"/>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3" name="Picture 33"/>
            <wp:cNvGraphicFramePr>
              <a:graphicFrameLocks noChangeAspect="1"/>
            </wp:cNvGraphicFramePr>
            <a:graphic>
              <a:graphicData uri="http://schemas.openxmlformats.org/drawingml/2006/picture">
                <pic:pic>
                  <pic:nvPicPr>
                    <pic:cNvPr id="0" name="fig26_2_shihyogun.png"/>
                    <pic:cNvPicPr/>
                  </pic:nvPicPr>
                  <pic:blipFill>
                    <a:blip r:embed="rId41"/>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4" name="Picture 34"/>
            <wp:cNvGraphicFramePr>
              <a:graphicFrameLocks noChangeAspect="1"/>
            </wp:cNvGraphicFramePr>
            <a:graphic>
              <a:graphicData uri="http://schemas.openxmlformats.org/drawingml/2006/picture">
                <pic:pic>
                  <pic:nvPicPr>
                    <pic:cNvPr id="0" name="fig26_3_mokuhyo.png"/>
                    <pic:cNvPicPr/>
                  </pic:nvPicPr>
                  <pic:blipFill>
                    <a:blip r:embed="rId42"/>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5" name="Picture 35"/>
            <wp:cNvGraphicFramePr>
              <a:graphicFrameLocks noChangeAspect="1"/>
            </wp:cNvGraphicFramePr>
            <a:graphic>
              <a:graphicData uri="http://schemas.openxmlformats.org/drawingml/2006/picture">
                <pic:pic>
                  <pic:nvPicPr>
                    <pic:cNvPr id="0" name="fig30_kpi_source.png"/>
                    <pic:cNvPicPr/>
                  </pic:nvPicPr>
                  <pic:blipFill>
                    <a:blip r:embed="rId43"/>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9,815.0</w:t>
            </w:r>
          </w:p>
        </w:tc>
        <w:tc>
          <w:tcPr>
            <w:tcW w:type="dxa" w:w="1001"/>
          </w:tcPr>
          <w:p>
            <w:r/>
            <w:r>
              <w:rPr>
                <w:rFonts w:ascii="游ゴシック" w:hAnsi="游ゴシック" w:eastAsia="游ゴシック"/>
                <w:sz w:val="17"/>
              </w:rPr>
              <w:t>3,237.3</w:t>
            </w:r>
          </w:p>
        </w:tc>
        <w:tc>
          <w:tcPr>
            <w:tcW w:type="dxa" w:w="1001"/>
          </w:tcPr>
          <w:p>
            <w:r/>
            <w:r>
              <w:rPr>
                <w:rFonts w:ascii="游ゴシック" w:hAnsi="游ゴシック" w:eastAsia="游ゴシック"/>
                <w:sz w:val="17"/>
              </w:rPr>
              <w:t>3,272.8</w:t>
            </w:r>
          </w:p>
        </w:tc>
        <w:tc>
          <w:tcPr>
            <w:tcW w:type="dxa" w:w="1001"/>
          </w:tcPr>
          <w:p>
            <w:r/>
            <w:r>
              <w:rPr>
                <w:rFonts w:ascii="游ゴシック" w:hAnsi="游ゴシック" w:eastAsia="游ゴシック"/>
                <w:sz w:val="17"/>
              </w:rPr>
              <w:t>3,304.9</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自然体給付費×1.0591（令和6年度決算による割増率）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550.2</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10,365.2</w:t>
            </w:r>
          </w:p>
        </w:tc>
        <w:tc>
          <w:tcPr>
            <w:tcW w:type="dxa" w:w="1001"/>
          </w:tcPr>
          <w:p>
            <w:r/>
            <w:r>
              <w:rPr>
                <w:rFonts w:ascii="游ゴシック" w:hAnsi="游ゴシック" w:eastAsia="游ゴシック"/>
                <w:sz w:val="17"/>
              </w:rPr>
              <w:t>3,420.7</w:t>
            </w:r>
          </w:p>
        </w:tc>
        <w:tc>
          <w:tcPr>
            <w:tcW w:type="dxa" w:w="1001"/>
          </w:tcPr>
          <w:p>
            <w:r/>
            <w:r>
              <w:rPr>
                <w:rFonts w:ascii="游ゴシック" w:hAnsi="游ゴシック" w:eastAsia="游ゴシック"/>
                <w:sz w:val="17"/>
              </w:rPr>
              <w:t>3,456.2</w:t>
            </w:r>
          </w:p>
        </w:tc>
        <w:tc>
          <w:tcPr>
            <w:tcW w:type="dxa" w:w="1001"/>
          </w:tcPr>
          <w:p>
            <w:r/>
            <w:r>
              <w:rPr>
                <w:rFonts w:ascii="游ゴシック" w:hAnsi="游ゴシック" w:eastAsia="游ゴシック"/>
                <w:sz w:val="17"/>
              </w:rPr>
              <w:t>3,488.3</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標準給付費見込額（A）は、自然体推計による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6" name="Picture 36"/>
            <wp:cNvGraphicFramePr>
              <a:graphicFrameLocks noChangeAspect="1"/>
            </wp:cNvGraphicFramePr>
            <a:graphic>
              <a:graphicData uri="http://schemas.openxmlformats.org/drawingml/2006/picture">
                <pic:pic>
                  <pic:nvPicPr>
                    <pic:cNvPr id="0" name="fig29_1_hokenryo.png"/>
                    <pic:cNvPicPr/>
                  </pic:nvPicPr>
                  <pic:blipFill>
                    <a:blip r:embed="rId44"/>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7" name="Picture 37"/>
            <wp:cNvGraphicFramePr>
              <a:graphicFrameLocks noChangeAspect="1"/>
            </wp:cNvGraphicFramePr>
            <a:graphic>
              <a:graphicData uri="http://schemas.openxmlformats.org/drawingml/2006/picture">
                <pic:pic>
                  <pic:nvPicPr>
                    <pic:cNvPr id="0" name="fig29_2_kannai.png"/>
                    <pic:cNvPicPr/>
                  </pic:nvPicPr>
                  <pic:blipFill>
                    <a:blip r:embed="rId45"/>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6,684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9,815,032,090</w:t>
            </w:r>
          </w:p>
        </w:tc>
        <w:tc>
          <w:tcPr>
            <w:tcW w:type="dxa" w:w="794"/>
          </w:tcPr>
          <w:p>
            <w:r/>
            <w:r>
              <w:rPr>
                <w:rFonts w:ascii="游ゴシック" w:hAnsi="游ゴシック" w:eastAsia="游ゴシック"/>
                <w:sz w:val="17"/>
              </w:rPr>
              <w:t>103.1％</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550,152,777</w:t>
            </w:r>
          </w:p>
        </w:tc>
        <w:tc>
          <w:tcPr>
            <w:tcW w:type="dxa" w:w="794"/>
          </w:tcPr>
          <w:p>
            <w:r/>
            <w:r>
              <w:rPr>
                <w:rFonts w:ascii="游ゴシック" w:hAnsi="游ゴシック" w:eastAsia="游ゴシック"/>
                <w:sz w:val="17"/>
              </w:rPr>
              <w:t>92.7％</w:t>
            </w:r>
          </w:p>
        </w:tc>
        <w:tc>
          <w:tcPr>
            <w:tcW w:type="dxa" w:w="2494"/>
          </w:tcPr>
          <w:p>
            <w:r/>
            <w:r>
              <w:rPr>
                <w:rFonts w:ascii="游ゴシック" w:hAnsi="游ゴシック" w:eastAsia="游ゴシック"/>
                <w:sz w:val="17"/>
              </w:rPr>
              <w:t>令和6年度決算額×3年</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10,365,184,867</w:t>
            </w:r>
          </w:p>
        </w:tc>
        <w:tc>
          <w:tcPr>
            <w:tcW w:type="dxa" w:w="794"/>
          </w:tcPr>
          <w:p>
            <w:r/>
            <w:r>
              <w:rPr>
                <w:rFonts w:ascii="游ゴシック" w:hAnsi="游ゴシック" w:eastAsia="游ゴシック"/>
                <w:sz w:val="17"/>
              </w:rPr>
              <w:t>102.5％</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2,383,992,519</w:t>
            </w:r>
          </w:p>
        </w:tc>
        <w:tc>
          <w:tcPr>
            <w:tcW w:type="dxa" w:w="794"/>
          </w:tcPr>
          <w:p>
            <w:r/>
            <w:r>
              <w:rPr>
                <w:rFonts w:ascii="游ゴシック" w:hAnsi="游ゴシック" w:eastAsia="游ゴシック"/>
                <w:sz w:val="17"/>
              </w:rPr>
              <w:t>102.5％</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505,942,798</w:t>
            </w:r>
          </w:p>
        </w:tc>
        <w:tc>
          <w:tcPr>
            <w:tcW w:type="dxa" w:w="794"/>
          </w:tcPr>
          <w:p>
            <w:r/>
            <w:r>
              <w:rPr>
                <w:rFonts w:ascii="游ゴシック" w:hAnsi="游ゴシック" w:eastAsia="游ゴシック"/>
                <w:sz w:val="17"/>
              </w:rPr>
              <w:t>102.7％</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746,313,572</w:t>
            </w:r>
          </w:p>
        </w:tc>
        <w:tc>
          <w:tcPr>
            <w:tcW w:type="dxa" w:w="794"/>
          </w:tcPr>
          <w:p>
            <w:r/>
            <w:r>
              <w:rPr>
                <w:rFonts w:ascii="游ゴシック" w:hAnsi="游ゴシック" w:eastAsia="游ゴシック"/>
                <w:sz w:val="17"/>
              </w:rPr>
              <w:t>102.7％</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2,143,621,745</w:t>
            </w:r>
          </w:p>
        </w:tc>
        <w:tc>
          <w:tcPr>
            <w:tcW w:type="dxa" w:w="794"/>
          </w:tcPr>
          <w:p>
            <w:r/>
            <w:r>
              <w:rPr>
                <w:rFonts w:ascii="游ゴシック" w:hAnsi="游ゴシック" w:eastAsia="游ゴシック"/>
                <w:sz w:val="17"/>
              </w:rPr>
              <w:t>104.5％</w:t>
            </w:r>
          </w:p>
        </w:tc>
        <w:tc>
          <w:tcPr>
            <w:tcW w:type="dxa" w:w="2494"/>
          </w:tcPr>
          <w:p>
            <w:r/>
            <w:r>
              <w:rPr>
                <w:rFonts w:ascii="游ゴシック" w:hAnsi="游ゴシック" w:eastAsia="游ゴシック"/>
                <w:sz w:val="17"/>
              </w:rPr>
              <w:t>C＋D－E－I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26,995人</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6,684円</w:t>
            </w:r>
          </w:p>
        </w:tc>
        <w:tc>
          <w:tcPr>
            <w:tcW w:type="dxa" w:w="794"/>
          </w:tcPr>
          <w:p>
            <w:r/>
            <w:r>
              <w:rPr>
                <w:rFonts w:ascii="游ゴシック" w:hAnsi="游ゴシック" w:eastAsia="游ゴシック"/>
                <w:sz w:val="17"/>
              </w:rPr>
              <w:t>104.0％</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8" name="Picture 38"/>
            <wp:cNvGraphicFramePr>
              <a:graphicFrameLocks noChangeAspect="1"/>
            </wp:cNvGraphicFramePr>
            <a:graphic>
              <a:graphicData uri="http://schemas.openxmlformats.org/drawingml/2006/picture">
                <pic:pic>
                  <pic:nvPicPr>
                    <pic:cNvPr id="0" name="fig33_hokenryo.png"/>
                    <pic:cNvPicPr/>
                  </pic:nvPicPr>
                  <pic:blipFill>
                    <a:blip r:embed="rId46"/>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9" name="Picture 39"/>
            <wp:cNvGraphicFramePr>
              <a:graphicFrameLocks noChangeAspect="1"/>
            </wp:cNvGraphicFramePr>
            <a:graphic>
              <a:graphicData uri="http://schemas.openxmlformats.org/drawingml/2006/picture">
                <pic:pic>
                  <pic:nvPicPr>
                    <pic:cNvPr id="0" name="fig33_2_yoin.png"/>
                    <pic:cNvPicPr/>
                  </pic:nvPicPr>
                  <pic:blipFill>
                    <a:blip r:embed="rId47"/>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284円高くなります。第9期からの差を要因に分けると、給付費の水準が＋191円、基金取崩しを行わないことが＋125円、被保険者数の減少が＋119円で、所得段階別加入割合補正後の被保険者数の係数が実績どおりであることが▲150円、地域支援事業費が令和6年度の決算水準であることが▲29円で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9,267百万円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6,229円</w:t>
            </w:r>
          </w:p>
        </w:tc>
        <w:tc>
          <w:tcPr>
            <w:tcW w:type="dxa" w:w="1134"/>
          </w:tcPr>
          <w:p>
            <w:r/>
            <w:r>
              <w:rPr>
                <w:rFonts w:ascii="游ゴシック" w:hAnsi="游ゴシック" w:eastAsia="游ゴシック"/>
                <w:sz w:val="17"/>
              </w:rPr>
              <w:t>▲455円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7,008円</w:t>
            </w:r>
          </w:p>
        </w:tc>
        <w:tc>
          <w:tcPr>
            <w:tcW w:type="dxa" w:w="1134"/>
          </w:tcPr>
          <w:p>
            <w:r/>
            <w:r>
              <w:rPr>
                <w:rFonts w:ascii="游ゴシック" w:hAnsi="游ゴシック" w:eastAsia="游ゴシック"/>
                <w:sz w:val="17"/>
              </w:rPr>
              <w:t>＋323円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6,964円</w:t>
            </w:r>
          </w:p>
        </w:tc>
        <w:tc>
          <w:tcPr>
            <w:tcW w:type="dxa" w:w="1134"/>
          </w:tcPr>
          <w:p>
            <w:r/>
            <w:r>
              <w:rPr>
                <w:rFonts w:ascii="游ゴシック" w:hAnsi="游ゴシック" w:eastAsia="游ゴシック"/>
                <w:sz w:val="17"/>
              </w:rPr>
              <w:t>＋279円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6,523円</w:t>
            </w:r>
          </w:p>
        </w:tc>
        <w:tc>
          <w:tcPr>
            <w:tcW w:type="dxa" w:w="1134"/>
          </w:tcPr>
          <w:p>
            <w:r/>
            <w:r>
              <w:rPr>
                <w:rFonts w:ascii="游ゴシック" w:hAnsi="游ゴシック" w:eastAsia="游ゴシック"/>
                <w:sz w:val="17"/>
              </w:rPr>
              <w:t>▲161円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6,625円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5,962円</w:t>
            </w:r>
          </w:p>
        </w:tc>
        <w:tc>
          <w:tcPr>
            <w:tcW w:type="dxa" w:w="1134"/>
          </w:tcPr>
          <w:p>
            <w:r/>
            <w:r>
              <w:rPr>
                <w:rFonts w:ascii="游ゴシック" w:hAnsi="游ゴシック" w:eastAsia="游ゴシック"/>
                <w:sz w:val="17"/>
              </w:rPr>
              <w:t>▲722円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455円の幅があります。見える化システムの自然体推計6,238円は、給付費を第9期の実績年率で置いた場合の値6,229円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