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本シートは、キックオフ会議でご確認・ご決定いただきたい事項を13項目に整理したものです。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合計95分です。時間が限られる場合は、項目1・2・7・13を優先してください。この4件はいずれも他の作業の前提となります。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要介護度別認定者数の実績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令和元年度から令和8年度までの各年3月末について、要支援1・2、要介護1〜5の別の認定者数をご提供ください。</w:t>
            </w:r>
          </w:p>
          <w:p>
            <w:pPr>
              <w:spacing w:after="20" w:before="0"/>
            </w:pPr>
            <w:r>
              <w:rPr>
                <w:rFonts w:ascii="游ゴシック" w:hAnsi="游ゴシック" w:eastAsia="游ゴシック"/>
                <w:b w:val="0"/>
                <w:sz w:val="19"/>
              </w:rPr>
              <w:t>認定者数の合計は将来推計の第1段階で推計済みです（令和11年度2,004〜2,112人）。サービス見込量は要介護度別の利用率により算定するため、内訳がないと第2段階に進めません。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見える化システムからの出力で代替できる</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階級別認定率のシナリオの選択</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認定者数が1本に確定しません。見込量、給付費、保険料に順に波及するため、令和8年12月の工程（計画素案の確定版）に間に合わなくなります。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令和8年8月4日に、在宅生活改善調査・居所変更実態調査・介護人材実態調査の第10期分（23の法人・事業者、102ファイル）を受領し、点検と集計を行いました。点検事項は29件です。</w:t>
            </w:r>
          </w:p>
          <w:p>
            <w:pPr>
              <w:spacing w:after="20" w:before="0"/>
            </w:pPr>
            <w:r>
              <w:rPr>
                <w:rFonts w:ascii="游ゴシック" w:hAnsi="游ゴシック" w:eastAsia="游ゴシック"/>
                <w:b w:val="0"/>
                <w:sz w:val="19"/>
              </w:rPr>
              <w:t>このうち次の3件は、集計の方法を決めないと計画本文に載せる数値が変わります。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①は照会のうえ実数を確定する／②は提出元を除いた集計を併記する／③は地区別分析を行わない（受託者の案）</w:t>
            </w:r>
          </w:p>
          <w:p>
            <w:pPr>
              <w:spacing w:after="20" w:before="0"/>
            </w:pPr>
            <w:r>
              <w:rPr>
                <w:rFonts w:ascii="游ゴシック" w:hAnsi="游ゴシック" w:eastAsia="游ゴシック"/>
                <w:b w:val="0"/>
                <w:sz w:val="19"/>
              </w:rPr>
              <w:t>□　3件とも事業所へ照会し、確定した数値で集計する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02シートNo.1〜No.3・09シート</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キックオフ会議資料の第5稿の作成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第2段階（サービス見込量）</w:t>
            </w:r>
          </w:p>
        </w:tc>
        <w:tc>
          <w:tcPr>
            <w:tcW w:type="dxa" w:w="3628"/>
          </w:tcPr>
          <w:p>
            <w:pPr>
              <w:spacing w:after="20" w:before="20"/>
            </w:pPr>
            <w:r/>
            <w:r>
              <w:rPr>
                <w:rFonts w:ascii="游ゴシック" w:hAnsi="游ゴシック" w:eastAsia="游ゴシック"/>
                <w:b w:val="0"/>
                <w:sz w:val="18"/>
              </w:rPr>
              <w:t>項目5の資料受領＋項目6の決定</w:t>
            </w:r>
          </w:p>
        </w:tc>
        <w:tc>
          <w:tcPr>
            <w:tcW w:type="dxa" w:w="2494"/>
          </w:tcPr>
          <w:p>
            <w:pPr>
              <w:spacing w:after="20" w:before="20"/>
            </w:pPr>
            <w:r/>
            <w:r>
              <w:rPr>
                <w:rFonts w:ascii="游ゴシック" w:hAnsi="游ゴシック" w:eastAsia="游ゴシック"/>
                <w:b w:val="0"/>
                <w:sz w:val="18"/>
              </w:rPr>
              <w:t>資料受領から1か月</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13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