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ゴシック" w:cs="游ゴシック" w:eastAsia="游ゴシック" w:hAnsi="游ゴシック"/>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ゴシック" w:cs="游ゴシック" w:eastAsia="游ゴシック" w:hAnsi="游ゴシック"/>
          <w:sz w:val="21"/>
          <w:szCs w:val="21"/>
        </w:rPr>
        <w:t xml:space="preserve"/>
      </w:r>
    </w:p>
    <w:p>
      <w:pPr>
        <w:spacing w:after="180" w:line="300"/>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680"/>
        <w:gridCol w:w="1498"/>
        <w:gridCol w:w="262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開会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委嘱状の交付</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村長あいさつ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委員長・副委員長の選出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議事（6）成果目標・活動指標（案）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その他・閉会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493"/>
        <w:gridCol w:w="1685"/>
        <w:gridCol w:w="262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数十円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1人／月あたり75円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約700円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令和22年度で1,496円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936"/>
        <w:gridCol w:w="2246"/>
        <w:gridCol w:w="374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所属・役職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氏名・役職</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村長・保健福祉課長</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学識経験者・保健医療関係者（4名）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社会福祉関係者・住民代表（9名）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936"/>
        <w:gridCol w:w="280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配付方法</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当日配付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頁数は目安である。資料2から資料8および別冊は、開催の1週間前までに事前送付する。別冊の素案は分量があるため、当日は資料4から資料7により要点をご説明する。素案の111頁のうち、5-12「据え置いている項目の一覧」と編集注記（⚙）は数値が確定した段階で削除するため、成果品としての計画書は約101頁になる見込みである（仕様書は約100頁）。</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第9期北塩原村高齢者福祉計画・第9期北塩原村介護保険事業計画は、令和6年度から令和8年度までの3年間を計画期間とし、4つの基本目標のもとに19の施策を掲げています。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936"/>
        <w:gridCol w:w="468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6365"/>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pPr>
      <w:r>
        <w:rPr>
          <w:rFonts w:ascii="游ゴシック" w:cs="游ゴシック" w:eastAsia="游ゴシック" w:hAnsi="游ゴシック"/>
          <w:sz w:val="21"/>
          <w:szCs w:val="21"/>
        </w:rPr>
        <w:t xml:space="preserve">第9期の計画値と実績を突き合わせたところ、次の乖離が確認されました。</w:t>
      </w:r>
    </w:p>
    <w:p>
      <w:pPr>
        <w:spacing w:after="100" w:line="300"/>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685"/>
        <w:gridCol w:w="1871"/>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059"/>
        <w:gridCol w:w="2246"/>
        <w:gridCol w:w="243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spacing w:after="100" w:line="300"/>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872"/>
        <w:gridCol w:w="2246"/>
        <w:gridCol w:w="243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spacing w:after="100" w:line="300"/>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2808"/>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年間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spacing w:after="100" w:line="300"/>
      </w:pPr>
      <w:r>
        <w:rPr>
          <w:rFonts w:ascii="游ゴシック" w:cs="游ゴシック" w:eastAsia="游ゴシック" w:hAnsi="游ゴシック"/>
          <w:b/>
          <w:bCs/>
          <w:color w:val="2E75B6"/>
          <w:sz w:val="22"/>
          <w:szCs w:val="22"/>
        </w:rPr>
        <w:t xml:space="preserve">3か年の推移を項目ごとにみると</w:t>
      </w:r>
    </w:p>
    <w:p>
      <w:pPr>
        <w:spacing w:after="120" w:line="300"/>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満点を3年間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年間で1項目5点のみです。</w:t>
      </w:r>
    </w:p>
    <w:p>
      <w:pPr>
        <w:spacing w:after="100" w:line="300"/>
      </w:pPr>
      <w:r>
        <w:rPr>
          <w:rFonts w:ascii="游ゴシック" w:cs="游ゴシック" w:eastAsia="游ゴシック" w:hAnsi="游ゴシック"/>
          <w:b/>
          <w:bCs/>
          <w:color w:val="2E75B6"/>
          <w:sz w:val="22"/>
          <w:szCs w:val="22"/>
        </w:rPr>
        <w:t xml:space="preserve">目標別にみると</w:t>
      </w:r>
    </w:p>
    <w:p>
      <w:pPr>
        <w:spacing w:after="120" w:line="300"/>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749"/>
        <w:gridCol w:w="936"/>
        <w:gridCol w:w="1123"/>
        <w:gridCol w:w="1123"/>
        <w:gridCol w:w="1872"/>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1123"/>
        <w:gridCol w:w="749"/>
        <w:gridCol w:w="1123"/>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要改善の項目と点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8項目 28点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4項目 30点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310"/>
        <w:gridCol w:w="1310"/>
        <w:gridCol w:w="280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spacing w:after="100" w:line="300"/>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pPr>
      <w:r>
        <w:rPr>
          <w:rFonts w:ascii="游ゴシック" w:cs="游ゴシック" w:eastAsia="游ゴシック" w:hAnsi="游ゴシック"/>
          <w:sz w:val="21"/>
          <w:szCs w:val="21"/>
        </w:rPr>
        <w:t xml:space="preserve">上の推移で悪化した23項目115点の内訳を分けると、村の取組が後退したといえるのは3項目15点に限られます。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749"/>
        <w:gridCol w:w="655"/>
        <w:gridCol w:w="1030"/>
        <w:gridCol w:w="936"/>
        <w:gridCol w:w="318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性質</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村の取組。令和6・7年度は取得していた</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退した3項目はいずれも全国の65〜86%が取得している項目で、令和6年度・令和7年度は本村も取得していました。取組が止まったのか、国への該当状況調査票の記載によるものかを確認したうえで、取組が止まっているのであれば令和9年度の評価で取り戻せます。合わせて15点です。</w:t>
      </w:r>
    </w:p>
    <w:p>
      <w:pPr>
        <w:spacing w:after="100" w:line="300"/>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4680"/>
        <w:gridCol w:w="936"/>
        <w:gridCol w:w="2059"/>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054"/>
        <w:gridCol w:w="374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spacing w:after="100" w:line="300"/>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879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本資料の約束ごと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931"/>
        <w:gridCol w:w="337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spacing w:after="100" w:line="300"/>
      </w:pPr>
      <w:r>
        <w:rPr>
          <w:rFonts w:ascii="游ゴシック" w:cs="游ゴシック" w:eastAsia="游ゴシック" w:hAnsi="游ゴシック"/>
          <w:b/>
          <w:bCs/>
          <w:color w:val="2E75B6"/>
          <w:sz w:val="22"/>
          <w:szCs w:val="22"/>
        </w:rPr>
        <w:t xml:space="preserve">地区別の回収状況</w:t>
      </w:r>
    </w:p>
    <w:p>
      <w:pPr>
        <w:spacing w:after="120" w:line="300"/>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498"/>
        <w:gridCol w:w="1498"/>
        <w:gridCol w:w="3556"/>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（参考）第9期の対象者数／回収率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329人／57.4%</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200人／55.0%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114人／59.6%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240人／58.8%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883人／57.6%</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spacing w:after="100" w:line="300"/>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650"/>
        <w:gridCol w:w="365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在宅介護実態調査（118人）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12人（10.2%）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25人（21.2%）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81人（68.6%）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36人（30.5%）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82人（69.5%）</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spacing w:after="100" w:line="300"/>
      </w:pPr>
      <w:r>
        <w:rPr>
          <w:rFonts w:ascii="游ゴシック" w:cs="游ゴシック" w:eastAsia="游ゴシック" w:hAnsi="游ゴシック"/>
          <w:b/>
          <w:bCs/>
          <w:color w:val="2E75B6"/>
          <w:sz w:val="22"/>
          <w:szCs w:val="22"/>
        </w:rPr>
        <w:t xml:space="preserve">回答方法別の状況（第10期の新規）</w:t>
      </w:r>
    </w:p>
    <w:p>
      <w:pPr>
        <w:spacing w:after="120" w:line="300"/>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276"/>
        <w:gridCol w:w="327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1685"/>
        <w:gridCol w:w="1685"/>
        <w:gridCol w:w="1872"/>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872"/>
        <w:gridCol w:w="1123"/>
        <w:gridCol w:w="112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spacing w:after="100" w:line="300"/>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498"/>
        <w:gridCol w:w="1498"/>
        <w:gridCol w:w="1498"/>
        <w:gridCol w:w="1498"/>
        <w:gridCol w:w="14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2434"/>
        <w:gridCol w:w="2058"/>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spacing w:after="100" w:line="300"/>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2434"/>
        <w:gridCol w:w="1498"/>
        <w:gridCol w:w="131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872"/>
        <w:gridCol w:w="2059"/>
        <w:gridCol w:w="2434"/>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2621"/>
        <w:gridCol w:w="1685"/>
        <w:gridCol w:w="1872"/>
        <w:gridCol w:w="187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370"/>
        <w:gridCol w:w="2808"/>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spacing w:after="100" w:line="300"/>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621"/>
        <w:gridCol w:w="3369"/>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spacing w:after="100" w:line="300"/>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591"/>
        <w:gridCol w:w="1123"/>
        <w:gridCol w:w="1310"/>
        <w:gridCol w:w="1872"/>
        <w:gridCol w:w="2060"/>
      </w:tblGrid>
      <w:tr>
        <w:trPr>
          <w:tblHeader/>
        </w:trPr>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r>
      <w:t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3182"/>
        <w:gridCol w:w="243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803"/>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936"/>
        <w:gridCol w:w="411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spacing w:after="100" w:line="300"/>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spacing w:after="100" w:line="300"/>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spacing w:after="100" w:line="300"/>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4306"/>
        <w:gridCol w:w="168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基本目標5を新設する理由</w:t>
      </w:r>
    </w:p>
    <w:p>
      <w:pPr>
        <w:spacing w:after="120" w:line="300"/>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spacing w:after="100" w:line="300"/>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5429"/>
        <w:gridCol w:w="1497"/>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9296400"/>
                    </a:xfrm>
                    <a:prstGeom prst="rect">
                      <a:avLst/>
                    </a:prstGeom>
                  </pic:spPr>
                </pic:pic>
              </a:graphicData>
            </a:graphic>
          </wp:inline>
        </w:drawing>
      </w:r>
    </w:p>
    <w:p>
      <w:pPr>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ゴシック" w:cs="游ゴシック" w:eastAsia="游ゴシック" w:hAnsi="游ゴシック"/>
          <w:sz w:val="21"/>
          <w:szCs w:val="21"/>
        </w:rPr>
        <w:t xml:space="preserve">以下、基本目標ごとに施策のねらいを示します。</w:t>
      </w:r>
    </w:p>
    <w:p>
      <w:pPr>
        <w:spacing w:after="100" w:line="300"/>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936"/>
        <w:gridCol w:w="692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5803"/>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5990"/>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spacing w:after="100" w:line="300"/>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306"/>
        <w:gridCol w:w="411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段階2の変更について</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685"/>
        <w:gridCol w:w="1310"/>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pPr>
      <w:r>
        <w:rPr>
          <w:rFonts w:ascii="游ゴシック" w:cs="游ゴシック" w:eastAsia="游ゴシック" w:hAnsi="游ゴシック"/>
          <w:sz w:val="21"/>
          <w:szCs w:val="21"/>
        </w:rPr>
        <w:t xml:space="preserve">本村の第1号被保険者数は減少局面に入っています。ただし後期高齢者（75歳以上）は令和12年（2030年）の547人がピークで、第10期（令和9〜11年度）はその増加のまっただ中にあたります。</w:t>
      </w:r>
    </w:p>
    <w:p>
      <w:pPr>
        <w:spacing w:after="100" w:line="300"/>
      </w:pPr>
      <w:r>
        <w:rPr>
          <w:rFonts w:ascii="游ゴシック" w:cs="游ゴシック" w:eastAsia="游ゴシック" w:hAnsi="游ゴシック"/>
          <w:b/>
          <w:bCs/>
          <w:color w:val="2E75B6"/>
          <w:sz w:val="22"/>
          <w:szCs w:val="22"/>
        </w:rPr>
        <w:t xml:space="preserve">配布データによる推計（補正後・各年1月1日時点）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030"/>
        <w:gridCol w:w="1030"/>
        <w:gridCol w:w="1030"/>
        <w:gridCol w:w="1030"/>
        <w:gridCol w:w="1030"/>
        <w:gridCol w:w="1030"/>
        <w:gridCol w:w="11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1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918</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ご議論いただきたい論点：配布データをそのまま用いるかどうか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配布データの令和8年の推計値953人に対し、実績（令和7年12月末の第1号被保険者数）は1,012人で、推計が実績を59人下回っています。実績に対して5.8%の差で、これは第9期の乖離6.6%とほぼ同じ規模です。配布データをそのまま用いると、第9期と同じ過少推計を繰り返す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118"/>
        <w:gridCol w:w="1498"/>
        <w:gridCol w:w="1498"/>
        <w:gridCol w:w="1497"/>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932人</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配布データの伸び率を用い、水準を令和8年の実績に合わせる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B案の令和9年は1,004人である。前期高齢者465人・後期高齢者538人の内訳をそれぞれ四捨五入して足すと1,003人になるが、合計を四捨五入した1,004人を用い、保険料の算定（資料6）もこの値による。同じ指標に2つの値が併存しないよう、計画素案・本資料をとおして1,004人に統一し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村の第1号被保険者数には出所が3つあり、時点も定義も異なるため混ぜてはならない。(1)地域包括ケア「見える化」システムの年度の値（令和6年度1,015人・令和7年度1,011人。第9期の乖離検証と受給率の分母に用いる）、(2)村の住民基本台帳による実績（令和7年12月末1,012人。推計の置き直しの基準）、(3)B案の推計（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spacing w:after="120" w:line="300"/>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A案とB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県の通知は「配布データを参考として適切に設定願います」としており、配布データの使用を義務づけてはいません。当方はB案を提案しますが、ご判断をお願いします。</w:t>
      </w:r>
    </w:p>
    <w:p>
      <w:pPr>
        <w:spacing w:after="100" w:line="300"/>
      </w:pPr>
      <w:r>
        <w:rPr>
          <w:rFonts w:ascii="游ゴシック" w:cs="游ゴシック" w:eastAsia="游ゴシック" w:hAnsi="游ゴシック"/>
          <w:b/>
          <w:bCs/>
          <w:color w:val="2E75B6"/>
          <w:sz w:val="22"/>
          <w:szCs w:val="22"/>
        </w:rPr>
        <w:t xml:space="preserve">要支援・要介護認定者数の見通し</w:t>
      </w:r>
    </w:p>
    <w:p>
      <w:pPr>
        <w:spacing w:after="120" w:line="300"/>
      </w:pPr>
      <w:r>
        <w:rPr>
          <w:rFonts w:ascii="游ゴシック" w:cs="游ゴシック" w:eastAsia="游ゴシック" w:hAnsi="游ゴシック"/>
          <w:sz w:val="21"/>
          <w:szCs w:val="21"/>
        </w:rPr>
        <w:t xml:space="preserve">第1号被保険者数に要介護度別の認定率を乗じて推計します。認定率は前期高齢者（65〜74歳）と後期高齢者（75歳以上）に分けて算出しました。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後期高齢者の認定率は前期高齢者の約6倍です。本村で今後認定者が増えるのは、高齢者が増えるからではなく、高齢者の中で後期高齢者の比率が上がるためです。</w:t>
      </w:r>
    </w:p>
    <w:p>
      <w:pPr>
        <w:spacing w:after="120" w:line="300"/>
      </w:pPr>
      <w:r>
        <w:rPr>
          <w:rFonts w:ascii="游ゴシック" w:cs="游ゴシック" w:eastAsia="游ゴシック" w:hAnsi="游ゴシック"/>
          <w:sz w:val="21"/>
          <w:szCs w:val="21"/>
        </w:rPr>
        <w:t xml:space="preserve">B案（実績にリベース）と令和8年の認定率を用いた場合の推計は次のとおりです。令和8年は実績を置き、令和9年以降は前期高齢者・後期高齢者それぞれの要介護度別認定率をB案の人口に乗じた値です。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第1号被保険者数が令和8年から令和11年にかけて25人（2.5%）減るなかで、認定者数は6人（2.8%）増えます。後期高齢者の比率が52.0%から57.0%に上がるためです。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令和8年の欄は令和8年3月末の実績（計画素案2-3・5-3と同じ値）である。令和9年以降の「計」は要介護度別の値を四捨五入する前に合計し、その合計を四捨五入した値であるため、要介護度別の数字をそのまま足した値と最大1人違う（令和9年は内訳の和213人・計214人、令和10年は内訳の和218人・計217人）。保険料の算定には「計」の値を用いている。</w:t>
      </w:r>
    </w:p>
    <w:p>
      <w:pPr>
        <w:spacing w:after="100" w:line="300"/>
      </w:pPr>
      <w:r>
        <w:rPr>
          <w:rFonts w:ascii="游ゴシック" w:cs="游ゴシック" w:eastAsia="游ゴシック" w:hAnsi="游ゴシック"/>
          <w:b/>
          <w:bCs/>
          <w:color w:val="2E75B6"/>
          <w:sz w:val="22"/>
          <w:szCs w:val="22"/>
        </w:rPr>
        <w:t xml:space="preserve">ご議論いただきたい論点：認定率をどう置くか</w:t>
      </w:r>
    </w:p>
    <w:p>
      <w:pPr>
        <w:spacing w:after="120" w:line="300"/>
      </w:pPr>
      <w:r>
        <w:rPr>
          <w:rFonts w:ascii="游ゴシック" w:cs="游ゴシック" w:eastAsia="游ゴシック" w:hAnsi="游ゴシック"/>
          <w:sz w:val="21"/>
          <w:szCs w:val="21"/>
        </w:rPr>
        <w:t xml:space="preserve">認定者数は、以降のサービス見込み量・給付費・保険料のすべての基礎になります。認定率の置き方により次の幅が生じます。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1123"/>
        <w:gridCol w:w="1123"/>
        <w:gridCol w:w="1591"/>
        <w:gridCol w:w="159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【当方の提案】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①を提案するのは、本村は認定者が200人程度と少なく、単年度の認定率は数人の増減で動くためです。ただし①は3つのなかで最も低い見込みであり、認定率の上昇が続けば下振れします。幅は令和11年で6人、保険料基準額で月額約170円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spacing w:after="100" w:line="300"/>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217"/>
        <w:gridCol w:w="1217"/>
        <w:gridCol w:w="1217"/>
        <w:gridCol w:w="1217"/>
        <w:gridCol w:w="1217"/>
        <w:gridCol w:w="121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spacing w:after="100" w:line="300"/>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123"/>
        <w:gridCol w:w="1404"/>
        <w:gridCol w:w="1404"/>
        <w:gridCol w:w="1404"/>
        <w:gridCol w:w="140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498"/>
        <w:gridCol w:w="168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spacing w:after="100" w:line="300"/>
      </w:pPr>
      <w:r>
        <w:rPr>
          <w:rFonts w:ascii="游ゴシック" w:cs="游ゴシック" w:eastAsia="游ゴシック" w:hAnsi="游ゴシック"/>
          <w:b/>
          <w:bCs/>
          <w:color w:val="2E75B6"/>
          <w:sz w:val="22"/>
          <w:szCs w:val="22"/>
        </w:rPr>
        <w:t xml:space="preserve">実績のないサービスの扱い</w:t>
      </w:r>
    </w:p>
    <w:p>
      <w:pPr>
        <w:spacing w:after="120" w:line="300"/>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spacing w:after="100" w:line="300"/>
      </w:pPr>
      <w:r>
        <w:rPr>
          <w:rFonts w:ascii="游ゴシック" w:cs="游ゴシック" w:eastAsia="游ゴシック" w:hAnsi="游ゴシック"/>
          <w:b/>
          <w:bCs/>
          <w:color w:val="2E75B6"/>
          <w:sz w:val="22"/>
          <w:szCs w:val="22"/>
        </w:rPr>
        <w:t xml:space="preserve">① 単価が趨勢的に上がっていること</w:t>
      </w:r>
    </w:p>
    <w:p>
      <w:pPr>
        <w:spacing w:after="120" w:line="300"/>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spacing w:after="100" w:line="300"/>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spacing w:after="100" w:line="300"/>
      </w:pPr>
      <w:r>
        <w:rPr>
          <w:rFonts w:ascii="游ゴシック" w:cs="游ゴシック" w:eastAsia="游ゴシック" w:hAnsi="游ゴシック"/>
          <w:b/>
          <w:bCs/>
          <w:color w:val="2E75B6"/>
          <w:sz w:val="22"/>
          <w:szCs w:val="22"/>
        </w:rPr>
        <w:t xml:space="preserve">③ 推計そのものに誤差があること</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685"/>
        <w:gridCol w:w="2059"/>
        <w:gridCol w:w="2059"/>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spacing w:after="100" w:line="300"/>
      </w:pPr>
      <w:r>
        <w:rPr>
          <w:rFonts w:ascii="游ゴシック" w:cs="游ゴシック" w:eastAsia="游ゴシック" w:hAnsi="游ゴシック"/>
          <w:b/>
          <w:bCs/>
          <w:color w:val="2E75B6"/>
          <w:sz w:val="22"/>
          <w:szCs w:val="22"/>
        </w:rPr>
        <w:t xml:space="preserve">④ 自己点検の結果</w:t>
      </w:r>
    </w:p>
    <w:p>
      <w:pPr>
        <w:spacing w:after="120" w:line="300"/>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217"/>
        <w:gridCol w:w="1217"/>
        <w:gridCol w:w="1217"/>
        <w:gridCol w:w="1217"/>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spacing w:after="100" w:line="300"/>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spacing w:after="100" w:line="300"/>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ゴシック" w:cs="游ゴシック" w:eastAsia="游ゴシック" w:hAnsi="游ゴシック"/>
          <w:sz w:val="21"/>
          <w:szCs w:val="21"/>
        </w:rPr>
        <w:t xml:space="preserve">保険料の確定には国の推計ワークシートと介護給付費準備基金の残高が必要であり、いずれも未受領です。ただし第9期計画の数値から算定の構造を復元できたため、前提を動かしたときに保険料がどう動くかはお示しで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本日ご議論いただきたいのは、①基金の取崩しをどの規模で行うか、②推計の幅をどこまで保険料に織り込むか、の2点です。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spacing w:after="100" w:line="300"/>
      </w:pPr>
      <w:r>
        <w:rPr>
          <w:rFonts w:ascii="游ゴシック" w:cs="游ゴシック" w:eastAsia="游ゴシック" w:hAnsi="游ゴシック"/>
          <w:b/>
          <w:bCs/>
          <w:color w:val="2E75B6"/>
          <w:sz w:val="22"/>
          <w:szCs w:val="22"/>
        </w:rPr>
        <w:t xml:space="preserve">(1) 給付費は10年間ほぼ横ばいです</w:t>
      </w:r>
    </w:p>
    <w:p>
      <w:pPr>
        <w:spacing w:after="120" w:line="300"/>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spacing w:after="100" w:line="300"/>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spacing w:after="100" w:line="300"/>
      </w:pPr>
      <w:r>
        <w:rPr>
          <w:rFonts w:ascii="游ゴシック" w:cs="游ゴシック" w:eastAsia="游ゴシック" w:hAnsi="游ゴシック"/>
          <w:b/>
          <w:bCs/>
          <w:color w:val="2E75B6"/>
          <w:sz w:val="22"/>
          <w:szCs w:val="22"/>
        </w:rPr>
        <w:t xml:space="preserve">(3) 令和9年度は介護報酬の改定年です</w:t>
      </w:r>
    </w:p>
    <w:p>
      <w:pPr>
        <w:spacing w:after="120" w:line="300"/>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8611"/>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どの前提がどれだけ効くか</w:t>
      </w:r>
    </w:p>
    <w:p>
      <w:pPr>
        <w:spacing w:after="120" w:line="300"/>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3"/>
        <w:gridCol w:w="3557"/>
      </w:tblGrid>
      <w:tr>
        <w:trPr>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6-3b　保険料の複数案（案）</w:t>
      </w:r>
    </w:p>
    <w:p>
      <w:pPr>
        <w:spacing w:after="120" w:line="300"/>
      </w:pPr>
      <w:r>
        <w:rPr>
          <w:rFonts w:ascii="游ゴシック" w:cs="游ゴシック" w:eastAsia="游ゴシック" w:hAnsi="游ゴシック"/>
          <w:sz w:val="21"/>
          <w:szCs w:val="21"/>
        </w:rPr>
        <w:t xml:space="preserve">第1号被保険者負担割合と基金の取崩し、給付費の水準を組み合わせた12のパターンで算定しました。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3370"/>
        <w:gridCol w:w="205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12のパターンで5,936円から7,341円まで1,406円の幅があります。第9期の条例基準額は6,700円です。幅の内訳は、基金の取崩し702円、第1号被保険者負担割合294円、給付費の水準279円の順で大きくなっています。</w:t>
      </w:r>
    </w:p>
    <w:p>
      <w:pPr>
        <w:spacing w:after="100" w:line="300"/>
      </w:pPr>
      <w:r>
        <w:rPr>
          <w:rFonts w:ascii="游ゴシック" w:cs="游ゴシック" w:eastAsia="游ゴシック" w:hAnsi="游ゴシック"/>
          <w:b/>
          <w:bCs/>
          <w:color w:val="2E75B6"/>
          <w:sz w:val="22"/>
          <w:szCs w:val="22"/>
        </w:rPr>
        <w:t xml:space="preserve">基金の取崩しについて3つの案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370"/>
        <w:gridCol w:w="2621"/>
        <w:gridCol w:w="2620"/>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基準月額（α23%・推計どおり）</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第9期と同程度の基金取崩（24,000千円）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2808"/>
        <w:gridCol w:w="26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434"/>
        <w:gridCol w:w="636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498"/>
        <w:gridCol w:w="2059"/>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498"/>
        <w:gridCol w:w="205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685"/>
        <w:gridCol w:w="1498"/>
        <w:gridCol w:w="2246"/>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計画に書くことで取得できる評価指標（61点）</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749"/>
        <w:gridCol w:w="1123"/>
        <w:gridCol w:w="1030"/>
        <w:gridCol w:w="2340"/>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spacing w:after="100" w:line="300"/>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spacing w:after="100" w:line="300"/>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spacing w:after="100" w:line="300"/>
      </w:pPr>
      <w:r>
        <w:rPr>
          <w:rFonts w:ascii="游ゴシック" w:cs="游ゴシック" w:eastAsia="游ゴシック" w:hAnsi="游ゴシック"/>
          <w:b/>
          <w:bCs/>
          <w:color w:val="2E75B6"/>
          <w:sz w:val="22"/>
          <w:szCs w:val="22"/>
        </w:rPr>
        <w:t xml:space="preserve">残りの61点はどうなるのか</w:t>
      </w:r>
    </w:p>
    <w:p>
      <w:pPr>
        <w:spacing w:after="120" w:line="300"/>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842"/>
        <w:gridCol w:w="655"/>
        <w:gridCol w:w="580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spacing w:after="100" w:line="300"/>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936"/>
        <w:gridCol w:w="1310"/>
        <w:gridCol w:w="1404"/>
        <w:gridCol w:w="1404"/>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655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spacing w:after="100" w:line="300"/>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5616"/>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123"/>
        <w:gridCol w:w="299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4306"/>
        <w:gridCol w:w="2246"/>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調査の集計が遅れた場合</w:t>
      </w:r>
    </w:p>
    <w:p>
      <w:pPr>
        <w:spacing w:after="120" w:line="300"/>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2026-09-29T09:55:48.020Z</dcterms:created>
  <dcterms:modified xsi:type="dcterms:W3CDTF">2026-09-29T09:55:48.020Z</dcterms:modified>
</cp:coreProperties>
</file>

<file path=docProps/custom.xml><?xml version="1.0" encoding="utf-8"?>
<Properties xmlns="http://schemas.openxmlformats.org/officeDocument/2006/custom-properties" xmlns:vt="http://schemas.openxmlformats.org/officeDocument/2006/docPropsVTypes"/>
</file>