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ＭＳ 明朝" w:hAnsi="ＭＳ 明朝" w:eastAsia="ＭＳ 明朝"/>
          <w:b w:val="0"/>
          <w:sz w:val="21"/>
        </w:rPr>
        <w:t>令和8年度　上下水道経営指標評価書作成等業務委託</w:t>
      </w:r>
    </w:p>
    <w:p>
      <w:pPr>
        <w:spacing w:after="40" w:line="276" w:lineRule="auto"/>
        <w:jc w:val="center"/>
      </w:pPr>
      <w:r>
        <w:rPr>
          <w:rFonts w:ascii="ＭＳ ゴシック" w:hAnsi="ＭＳ ゴシック" w:eastAsia="ＭＳ ゴシック"/>
          <w:b/>
          <w:color w:val="1F3864"/>
          <w:sz w:val="26"/>
        </w:rPr>
        <w:t>女川町上水道事業　水道料金改定の検討</w:t>
      </w:r>
    </w:p>
    <w:p>
      <w:pPr>
        <w:spacing w:after="120" w:line="276" w:lineRule="auto"/>
        <w:jc w:val="center"/>
      </w:pPr>
      <w:r>
        <w:rPr>
          <w:rFonts w:ascii="ＭＳ ゴシック" w:hAnsi="ＭＳ ゴシック" w:eastAsia="ＭＳ ゴシック"/>
          <w:b/>
          <w:color w:val="1F3864"/>
          <w:sz w:val="34"/>
        </w:rPr>
        <w:t>最終報告書に向けた工程表</w:t>
      </w:r>
    </w:p>
    <w:p>
      <w:pPr>
        <w:spacing w:after="200" w:line="276" w:lineRule="auto"/>
        <w:jc w:val="right"/>
      </w:pPr>
      <w:r>
        <w:rPr>
          <w:rFonts w:ascii="ＭＳ 明朝" w:hAnsi="ＭＳ 明朝" w:eastAsia="ＭＳ 明朝"/>
          <w:b w:val="0"/>
          <w:sz w:val="20"/>
        </w:rPr>
        <w:t>令和8年9月　ビズアップ公共コンサルティング株式会社</w:t>
      </w:r>
    </w:p>
    <w:p>
      <w:pPr>
        <w:spacing w:before="280" w:after="140"/>
        <w:pBdr>
          <w:bottom w:val="single" w:sz="12" w:space="2" w:color="1F3864"/>
        </w:pBdr>
      </w:pPr>
      <w:r>
        <w:rPr>
          <w:rFonts w:ascii="ＭＳ ゴシック" w:hAnsi="ＭＳ ゴシック" w:eastAsia="ＭＳ ゴシック"/>
          <w:b/>
          <w:color w:val="1F3864"/>
          <w:sz w:val="26"/>
        </w:rPr>
        <w:t>1　全体像とマイルストーン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1701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9"/>
              </w:rPr>
              <w:t>時期</w:t>
            </w:r>
          </w:p>
        </w:tc>
        <w:tc>
          <w:tcPr>
            <w:tcW w:type="dxa" w:w="2041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9"/>
              </w:rPr>
              <w:t>マイルストーン</w:t>
            </w:r>
          </w:p>
        </w:tc>
        <w:tc>
          <w:tcPr>
            <w:tcW w:type="dxa" w:w="10998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令和8年9月末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9"/>
              </w:rPr>
              <w:t>中間報告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業務仕様書の3パターンのシミュレーションと影響のとりまとめを提出（済）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令和8年12月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総括原価の確定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決算確定値・固定資産台帳・実使用水量を反映し、必要改定率を確定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令和9年1月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改定案の決定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A〜E案から採用案を絞り込み、町内調整を完了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令和9年1〜2月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住民・事業者説明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説明会の開催、水産加工業者への個別説明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令和9年2月末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9"/>
              </w:rPr>
              <w:t>最終報告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最終報告書の提出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令和9年3月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条例改正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議会への条例改正案の提出・議決</w:t>
            </w:r>
          </w:p>
        </w:tc>
      </w:tr>
      <w:tr>
        <w:tc>
          <w:tcPr>
            <w:tcW w:type="dxa" w:w="170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令和9年4月以降</w:t>
            </w:r>
          </w:p>
        </w:tc>
        <w:tc>
          <w:tcPr>
            <w:tcW w:type="dxa" w:w="204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改定の実施</w:t>
            </w:r>
          </w:p>
        </w:tc>
        <w:tc>
          <w:tcPr>
            <w:tcW w:type="dxa" w:w="1099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9"/>
              </w:rPr>
              <w:t>周知期間を経て新料金の適用開始</w:t>
            </w:r>
          </w:p>
        </w:tc>
      </w:tr>
    </w:tbl>
    <w:p>
      <w:pPr>
        <w:spacing w:after="160" w:line="276" w:lineRule="auto"/>
      </w:pPr>
      <w:r>
        <w:rPr>
          <w:rFonts w:ascii="ＭＳ 明朝" w:hAnsi="ＭＳ 明朝" w:eastAsia="ＭＳ 明朝"/>
          <w:b w:val="0"/>
          <w:color w:val="595959"/>
          <w:sz w:val="17"/>
        </w:rPr>
        <w:t>※ 業務の履行期限を令和9年3月末と想定して組んでいる。履行期限が異なる場合は全体を前倒し／後ろ倒しする。料金改定の実施時期は議会の議決時期により変動する。</w:t>
      </w:r>
    </w:p>
    <w:p>
      <w:pPr>
        <w:spacing w:before="280" w:after="140"/>
        <w:pBdr>
          <w:bottom w:val="single" w:sz="12" w:space="2" w:color="1F3864"/>
        </w:pBdr>
      </w:pPr>
      <w:r>
        <w:rPr>
          <w:rFonts w:ascii="ＭＳ ゴシック" w:hAnsi="ＭＳ ゴシック" w:eastAsia="ＭＳ ゴシック"/>
          <w:b/>
          <w:color w:val="1F3864"/>
          <w:sz w:val="26"/>
        </w:rPr>
        <w:t>2　工程表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5896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作業項目</w:t>
            </w:r>
          </w:p>
        </w:tc>
        <w:tc>
          <w:tcPr>
            <w:tcW w:type="dxa" w:w="1134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担当</w:t>
            </w:r>
          </w:p>
        </w:tc>
        <w:tc>
          <w:tcPr>
            <w:tcW w:type="dxa" w:w="1247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R8.10</w:t>
            </w:r>
          </w:p>
        </w:tc>
        <w:tc>
          <w:tcPr>
            <w:tcW w:type="dxa" w:w="1247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R8.11</w:t>
            </w:r>
          </w:p>
        </w:tc>
        <w:tc>
          <w:tcPr>
            <w:tcW w:type="dxa" w:w="1247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R8.12</w:t>
            </w:r>
          </w:p>
        </w:tc>
        <w:tc>
          <w:tcPr>
            <w:tcW w:type="dxa" w:w="1247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R9.1</w:t>
            </w:r>
          </w:p>
        </w:tc>
        <w:tc>
          <w:tcPr>
            <w:tcW w:type="dxa" w:w="1247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R9.2</w:t>
            </w:r>
          </w:p>
        </w:tc>
        <w:tc>
          <w:tcPr>
            <w:tcW w:type="dxa" w:w="1247"/>
            <w:shd w:val="clear" w:fill="1F3864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R9.3</w:t>
            </w:r>
          </w:p>
        </w:tc>
      </w:tr>
      <w:tr>
        <w:tc>
          <w:tcPr>
            <w:tcW w:type="dxa" w:w="5896"/>
            <w:shd w:val="clear" w:fill="DDEBF7"/>
          </w:tcPr>
          <w:p>
            <w:pPr>
              <w:spacing w:after="20"/>
            </w:pPr>
            <w:r/>
            <w:r>
              <w:rPr>
                <w:rFonts w:ascii="ＭＳ ゴシック" w:hAnsi="ＭＳ ゴシック" w:eastAsia="ＭＳ ゴシック"/>
                <w:b/>
                <w:color w:val="1F3864"/>
                <w:sz w:val="18"/>
              </w:rPr>
              <w:t>【データの確定】</w:t>
            </w:r>
          </w:p>
        </w:tc>
        <w:tc>
          <w:tcPr>
            <w:tcW w:type="dxa" w:w="1134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決算確定値（R6・R7）の受領と反映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町→当方</w:t>
            </w:r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固定資産台帳による対象資産の確定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町→当方</w:t>
            </w:r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建設改良費調査票の未記入事項の確定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繰出基準の整理（基準内繰入金の確定）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水産加工業の実使用水量データの取得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町→当方</w:t>
            </w:r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口径別の調定件数・水量の実績集計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  <w:shd w:val="clear" w:fill="DDEBF7"/>
          </w:tcPr>
          <w:p>
            <w:pPr>
              <w:spacing w:after="20"/>
            </w:pPr>
            <w:r/>
            <w:r>
              <w:rPr>
                <w:rFonts w:ascii="ＭＳ ゴシック" w:hAnsi="ＭＳ ゴシック" w:eastAsia="ＭＳ ゴシック"/>
                <w:b/>
                <w:color w:val="1F3864"/>
                <w:sz w:val="18"/>
              </w:rPr>
              <w:t>【総括原価と料金表の確定】</w:t>
            </w:r>
          </w:p>
        </w:tc>
        <w:tc>
          <w:tcPr>
            <w:tcW w:type="dxa" w:w="1134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総括原価の再計算・必要改定率の確定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現行体系維持案の改定率の確定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赤字半減案の確定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口径別料金表案の精緻化（3-A・3-B）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水産加工業影響の再試算（実使用水量ベース）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特殊用途区分（湯屋用・船舶用）の取扱い整理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375623"/>
                <w:sz w:val="17"/>
              </w:rPr>
              <w:t>協議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  <w:shd w:val="clear" w:fill="DDEBF7"/>
          </w:tcPr>
          <w:p>
            <w:pPr>
              <w:spacing w:after="20"/>
            </w:pPr>
            <w:r/>
            <w:r>
              <w:rPr>
                <w:rFonts w:ascii="ＭＳ ゴシック" w:hAnsi="ＭＳ ゴシック" w:eastAsia="ＭＳ ゴシック"/>
                <w:b/>
                <w:color w:val="1F3864"/>
                <w:sz w:val="18"/>
              </w:rPr>
              <w:t>【改定案の決定と説明】</w:t>
            </w:r>
          </w:p>
        </w:tc>
        <w:tc>
          <w:tcPr>
            <w:tcW w:type="dxa" w:w="1134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改定案の絞り込み・町内調整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375623"/>
                <w:sz w:val="17"/>
              </w:rPr>
              <w:t>協議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段階改定・経過措置の設計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住民・議会説明用資料の作成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水産加工業者への個別説明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住民説明会の開催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  <w:shd w:val="clear" w:fill="DDEBF7"/>
          </w:tcPr>
          <w:p>
            <w:pPr>
              <w:spacing w:after="20"/>
            </w:pPr>
            <w:r/>
            <w:r>
              <w:rPr>
                <w:rFonts w:ascii="ＭＳ ゴシック" w:hAnsi="ＭＳ ゴシック" w:eastAsia="ＭＳ ゴシック"/>
                <w:b/>
                <w:color w:val="1F3864"/>
                <w:sz w:val="18"/>
              </w:rPr>
              <w:t>【報告と条例改正】</w:t>
            </w:r>
          </w:p>
        </w:tc>
        <w:tc>
          <w:tcPr>
            <w:tcW w:type="dxa" w:w="1134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  <w:tc>
          <w:tcPr>
            <w:tcW w:type="dxa" w:w="1247"/>
            <w:shd w:val="clear" w:fill="DDEBF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最終報告書の作成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★最終報告書の提出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sz w:val="17"/>
              </w:rPr>
              <w:t>当方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C00000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▲</w:t>
            </w:r>
          </w:p>
        </w:tc>
        <w:tc>
          <w:tcPr>
            <w:tcW w:type="dxa" w:w="1247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条例改正案の策定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★議会提出・議決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C00000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▲</w:t>
            </w:r>
          </w:p>
        </w:tc>
      </w:tr>
      <w:tr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ＭＳ 明朝" w:hAnsi="ＭＳ 明朝" w:eastAsia="ＭＳ 明朝"/>
                <w:sz w:val="18"/>
              </w:rPr>
              <w:t xml:space="preserve">　改定の周知・システム改修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color w:val="C00000"/>
                <w:sz w:val="17"/>
              </w:rPr>
              <w:t>町</w:t>
            </w:r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247"/>
            <w:shd w:val="clear" w:fill="BDD7EE"/>
          </w:tcPr>
          <w:p>
            <w:r/>
          </w:p>
        </w:tc>
      </w:tr>
    </w:tbl>
    <w:p>
      <w:pPr>
        <w:spacing w:after="80" w:line="276" w:lineRule="auto"/>
      </w:pPr>
    </w:p>
    <w:p>
      <w:pPr>
        <w:spacing w:after="200" w:line="276" w:lineRule="auto"/>
      </w:pPr>
      <w:r>
        <w:rPr>
          <w:rFonts w:ascii="ＭＳ 明朝" w:hAnsi="ＭＳ 明朝" w:eastAsia="ＭＳ 明朝"/>
          <w:b w:val="0"/>
          <w:color w:val="595959"/>
          <w:sz w:val="17"/>
        </w:rPr>
        <w:t xml:space="preserve">　　凡例：薄青＝作業期間　／　▲（赤）＝提出・議決　／　担当「町」＝女川町、「当方」＝ビズアップ公共コンサルティング、「協議」＝両者</w:t>
      </w:r>
    </w:p>
    <w:p>
      <w:r>
        <w:br w:type="page"/>
      </w:r>
    </w:p>
    <w:p>
      <w:pPr>
        <w:spacing w:before="280" w:after="140"/>
        <w:pBdr>
          <w:bottom w:val="single" w:sz="12" w:space="2" w:color="1F3864"/>
        </w:pBdr>
      </w:pPr>
      <w:r>
        <w:rPr>
          <w:rFonts w:ascii="ＭＳ ゴシック" w:hAnsi="ＭＳ ゴシック" w:eastAsia="ＭＳ ゴシック"/>
          <w:b/>
          <w:color w:val="1F3864"/>
          <w:sz w:val="26"/>
        </w:rPr>
        <w:t>3　月別の作業内容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361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4309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女川町にお願いする事項</w:t>
            </w:r>
          </w:p>
        </w:tc>
        <w:tc>
          <w:tcPr>
            <w:tcW w:type="dxa" w:w="4195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当方で実施する作業</w:t>
            </w:r>
          </w:p>
        </w:tc>
        <w:tc>
          <w:tcPr>
            <w:tcW w:type="dxa" w:w="2835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この時点での到達点</w:t>
            </w:r>
          </w:p>
        </w:tc>
      </w:tr>
      <w:tr>
        <w:tc>
          <w:tcPr>
            <w:tcW w:type="dxa" w:w="13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令和8年10月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・令和6年度・令和7年度決算の確定値の提供</w:t>
              <w:br/>
              <w:t>・令和8年4月1日時点の固定資産台帳残高の提供</w:t>
              <w:br/>
              <w:t>・建設改良費調査票の未記入事項の確定</w:t>
              <w:br/>
              <w:t xml:space="preserve">　（企業債の借入予定利率、償却年数の区分、</w:t>
              <w:br/>
              <w:t xml:space="preserve">　　江島海底送水管の資産種別等）</w:t>
              <w:br/>
              <w:t>・繰出基準に基づく基準内繰入金の整理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・提供データの確認と整理</w:t>
              <w:br/>
              <w:t>・調査票の投資計画の確定</w:t>
              <w:br/>
              <w:t>・水産加工業の使用水量データの分析準備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総括原価の算定に必要なデータが揃う</w:t>
            </w:r>
          </w:p>
        </w:tc>
      </w:tr>
      <w:tr>
        <w:tc>
          <w:tcPr>
            <w:tcW w:type="dxa" w:w="13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令和8年11月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・水産加工業者の事業者別・月別使用水量の提供</w:t>
              <w:br/>
              <w:t>・構造物及び設備の内訳の確認</w:t>
              <w:br/>
              <w:t>・量水器更新費の計上方針の決定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・総括原価の再計算</w:t>
              <w:br/>
              <w:t>・必要改定率の確定</w:t>
              <w:br/>
              <w:t>・口径別の調定件数・水量の実績集計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必要改定率が確定する</w:t>
            </w:r>
          </w:p>
        </w:tc>
      </w:tr>
      <w:tr>
        <w:tc>
          <w:tcPr>
            <w:tcW w:type="dxa" w:w="13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令和8年12月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・改定案の方向性についての内部協議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・3パターンの数値の確定</w:t>
              <w:br/>
              <w:t>・口径別料金表案の精緻化</w:t>
              <w:br/>
              <w:t>・水産加工業影響の再試算</w:t>
              <w:br/>
              <w:t>・特殊用途区分の取扱いの整理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3パターンの最終的な数値が固まる</w:t>
            </w:r>
          </w:p>
        </w:tc>
      </w:tr>
      <w:tr>
        <w:tc>
          <w:tcPr>
            <w:tcW w:type="dxa" w:w="13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令和9年1月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・改定案の決定</w:t>
              <w:br/>
              <w:t>・住民説明会の日程調整・開催通知</w:t>
              <w:br/>
              <w:t>・水産加工業者への個別説明の調整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・段階改定・経過措置の設計</w:t>
              <w:br/>
              <w:t>・住民・議会説明用資料の作成</w:t>
              <w:br/>
              <w:t>・最終報告書の執筆開始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採用する改定案が決まる</w:t>
            </w:r>
          </w:p>
        </w:tc>
      </w:tr>
      <w:tr>
        <w:tc>
          <w:tcPr>
            <w:tcW w:type="dxa" w:w="13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令和9年2月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・住民説明会の開催</w:t>
              <w:br/>
              <w:t>・水産加工業者への個別説明</w:t>
              <w:br/>
              <w:t>・条例改正案の策定着手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・説明会での意見を踏まえた修正</w:t>
              <w:br/>
              <w:t>・最終報告書の完成・提出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7"/>
              </w:rPr>
              <w:t>最終報告書の提出</w:t>
            </w:r>
          </w:p>
        </w:tc>
      </w:tr>
      <w:tr>
        <w:tc>
          <w:tcPr>
            <w:tcW w:type="dxa" w:w="13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令和9年3月</w:t>
            </w:r>
          </w:p>
        </w:tc>
        <w:tc>
          <w:tcPr>
            <w:tcW w:type="dxa" w:w="430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・議会への条例改正案の提出</w:t>
              <w:br/>
              <w:t>・議決後の周知・システム改修の手配</w:t>
            </w:r>
          </w:p>
        </w:tc>
        <w:tc>
          <w:tcPr>
            <w:tcW w:type="dxa" w:w="419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・議会説明資料の補助</w:t>
              <w:br/>
              <w:t>・条例改正案に関する技術的助言</w:t>
            </w:r>
          </w:p>
        </w:tc>
        <w:tc>
          <w:tcPr>
            <w:tcW w:type="dxa" w:w="2835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7"/>
              </w:rPr>
              <w:t>条例改正の議決</w:t>
            </w:r>
          </w:p>
        </w:tc>
      </w:tr>
    </w:tbl>
    <w:p>
      <w:pPr>
        <w:spacing w:after="80" w:line="276" w:lineRule="auto"/>
      </w:pPr>
    </w:p>
    <w:p>
      <w:r>
        <w:br w:type="page"/>
      </w:r>
    </w:p>
    <w:p>
      <w:pPr>
        <w:spacing w:before="280" w:after="140"/>
        <w:pBdr>
          <w:bottom w:val="single" w:sz="12" w:space="2" w:color="1F3864"/>
        </w:pBdr>
      </w:pPr>
      <w:r>
        <w:rPr>
          <w:rFonts w:ascii="ＭＳ ゴシック" w:hAnsi="ＭＳ ゴシック" w:eastAsia="ＭＳ ゴシック"/>
          <w:b/>
          <w:color w:val="1F3864"/>
          <w:sz w:val="26"/>
        </w:rPr>
        <w:t>4　工程上の要点</w:t>
      </w:r>
    </w:p>
    <w:p>
      <w:pPr>
        <w:spacing w:before="200" w:after="80"/>
      </w:pPr>
      <w:r>
        <w:rPr>
          <w:rFonts w:ascii="ＭＳ ゴシック" w:hAnsi="ＭＳ ゴシック" w:eastAsia="ＭＳ ゴシック"/>
          <w:b/>
          <w:color w:val="2E75B6"/>
          <w:sz w:val="22"/>
        </w:rPr>
        <w:t>4-1　クリティカルパス</w:t>
      </w:r>
    </w:p>
    <w:p>
      <w:pPr>
        <w:spacing w:after="80" w:line="276" w:lineRule="auto"/>
      </w:pPr>
      <w:r>
        <w:rPr>
          <w:rFonts w:ascii="ＭＳ 明朝" w:hAnsi="ＭＳ 明朝" w:eastAsia="ＭＳ 明朝"/>
          <w:b w:val="0"/>
          <w:sz w:val="21"/>
        </w:rPr>
        <w:t>次の3点が遅れると、以降の工程が連鎖的に遅れる。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680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順</w:t>
            </w:r>
          </w:p>
        </w:tc>
        <w:tc>
          <w:tcPr>
            <w:tcW w:type="dxa" w:w="3969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1701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期限</w:t>
            </w:r>
          </w:p>
        </w:tc>
        <w:tc>
          <w:tcPr>
            <w:tcW w:type="dxa" w:w="8504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遅延した場合の影響</w:t>
            </w:r>
          </w:p>
        </w:tc>
      </w:tr>
      <w:tr>
        <w:tc>
          <w:tcPr>
            <w:tcW w:type="dxa" w:w="680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1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決算確定値・固定資産台帳残高の提供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令和8年10月末</w:t>
            </w:r>
          </w:p>
        </w:tc>
        <w:tc>
          <w:tcPr>
            <w:tcW w:type="dxa" w:w="850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総括原価が確定せず、必要改定率も確定しない。11月以降の全工程が止まる</w:t>
            </w:r>
          </w:p>
        </w:tc>
      </w:tr>
      <w:tr>
        <w:tc>
          <w:tcPr>
            <w:tcW w:type="dxa" w:w="680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2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繰出基準に基づく基準内繰入金の整理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令和8年11月末</w:t>
            </w:r>
          </w:p>
        </w:tc>
        <w:tc>
          <w:tcPr>
            <w:tcW w:type="dxa" w:w="850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必要改定率が1.92倍から最大2.38倍まで動くため、改定案の比較ができない</w:t>
            </w:r>
          </w:p>
        </w:tc>
      </w:tr>
      <w:tr>
        <w:tc>
          <w:tcPr>
            <w:tcW w:type="dxa" w:w="680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3</w:t>
            </w:r>
          </w:p>
        </w:tc>
        <w:tc>
          <w:tcPr>
            <w:tcW w:type="dxa" w:w="396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改定案の決定</w:t>
            </w:r>
          </w:p>
        </w:tc>
        <w:tc>
          <w:tcPr>
            <w:tcW w:type="dxa" w:w="1701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令和9年1月末</w:t>
            </w:r>
          </w:p>
        </w:tc>
        <w:tc>
          <w:tcPr>
            <w:tcW w:type="dxa" w:w="850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住民説明・条例改正案の策定に入れず、令和9年3月議会に間に合わなくなる</w:t>
            </w:r>
          </w:p>
        </w:tc>
      </w:tr>
    </w:tbl>
    <w:p>
      <w:pPr>
        <w:spacing w:after="80" w:line="276" w:lineRule="auto"/>
      </w:pPr>
    </w:p>
    <w:p>
      <w:pPr>
        <w:spacing w:before="200" w:after="80"/>
      </w:pPr>
      <w:r>
        <w:rPr>
          <w:rFonts w:ascii="ＭＳ ゴシック" w:hAnsi="ＭＳ ゴシック" w:eastAsia="ＭＳ ゴシック"/>
          <w:b/>
          <w:color w:val="2E75B6"/>
          <w:sz w:val="22"/>
        </w:rPr>
        <w:t>4-2　並行して進められる作業</w:t>
      </w:r>
    </w:p>
    <w:p>
      <w:pPr>
        <w:pStyle w:val="ListBullet"/>
        <w:spacing w:after="60"/>
      </w:pPr>
      <w:r>
        <w:rPr>
          <w:rFonts w:ascii="ＭＳ 明朝" w:hAnsi="ＭＳ 明朝" w:eastAsia="ＭＳ 明朝"/>
          <w:sz w:val="20"/>
        </w:rPr>
        <w:t>水産加工業の実使用水量の分析は、決算値の確定を待たずに着手できる</w:t>
      </w:r>
    </w:p>
    <w:p>
      <w:pPr>
        <w:pStyle w:val="ListBullet"/>
        <w:spacing w:after="60"/>
      </w:pPr>
      <w:r>
        <w:rPr>
          <w:rFonts w:ascii="ＭＳ 明朝" w:hAnsi="ＭＳ 明朝" w:eastAsia="ＭＳ 明朝"/>
          <w:sz w:val="20"/>
        </w:rPr>
        <w:t>口径別料金表案の骨格（体系の形）は既に設計済みであり、水準の調整のみが残る</w:t>
      </w:r>
    </w:p>
    <w:p>
      <w:pPr>
        <w:pStyle w:val="ListBullet"/>
        <w:spacing w:after="60"/>
      </w:pPr>
      <w:r>
        <w:rPr>
          <w:rFonts w:ascii="ＭＳ 明朝" w:hAnsi="ＭＳ 明朝" w:eastAsia="ＭＳ 明朝"/>
          <w:sz w:val="20"/>
        </w:rPr>
        <w:t>住民・議会説明用資料の様式は中間報告書第10章をそのまま使えるため、数値の差替えで足りる</w:t>
      </w:r>
    </w:p>
    <w:p>
      <w:pPr>
        <w:pStyle w:val="ListBullet"/>
        <w:spacing w:after="60"/>
      </w:pPr>
      <w:r>
        <w:rPr>
          <w:rFonts w:ascii="ＭＳ 明朝" w:hAnsi="ＭＳ 明朝" w:eastAsia="ＭＳ 明朝"/>
          <w:sz w:val="20"/>
        </w:rPr>
        <w:t>条例改正案の条文構成は、改定案の決定前でも他団体の例を参照して準備できる</w:t>
      </w:r>
    </w:p>
    <w:p>
      <w:pPr>
        <w:spacing w:before="200" w:after="80"/>
      </w:pPr>
      <w:r>
        <w:rPr>
          <w:rFonts w:ascii="ＭＳ ゴシック" w:hAnsi="ＭＳ ゴシック" w:eastAsia="ＭＳ ゴシック"/>
          <w:b/>
          <w:color w:val="2E75B6"/>
          <w:sz w:val="22"/>
        </w:rPr>
        <w:t>4-3　工程が厳しくなった場合の対応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3402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11339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対応の考え方</w:t>
            </w:r>
          </w:p>
        </w:tc>
      </w:tr>
      <w:tr>
        <w:tc>
          <w:tcPr>
            <w:tcW w:type="dxa" w:w="3402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実使用水量データの取得が遅れる</w:t>
            </w:r>
          </w:p>
        </w:tc>
        <w:tc>
          <w:tcPr>
            <w:tcW w:type="dxa" w:w="1133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19社モデルの推計値のまま最終報告を行い、実データ反映は次期の見直しに送る。その場合は報告書に推計値である旨を明記する</w:t>
            </w:r>
          </w:p>
        </w:tc>
      </w:tr>
      <w:tr>
        <w:tc>
          <w:tcPr>
            <w:tcW w:type="dxa" w:w="3402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繰出基準の整理が固まらない</w:t>
            </w:r>
          </w:p>
        </w:tc>
        <w:tc>
          <w:tcPr>
            <w:tcW w:type="dxa" w:w="1133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基準内繰入金を控除する場合（1.92倍）と控除しない場合（2.38倍）の両論併記で最終報告を行う。中間報告と同じ扱いとなる</w:t>
            </w:r>
          </w:p>
        </w:tc>
      </w:tr>
      <w:tr>
        <w:tc>
          <w:tcPr>
            <w:tcW w:type="dxa" w:w="3402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令和9年3月議会に間に合わない</w:t>
            </w:r>
          </w:p>
        </w:tc>
        <w:tc>
          <w:tcPr>
            <w:tcW w:type="dxa" w:w="1133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条例改正を令和9年6月議会に送り、改定の実施時期を後ろ倒しする。その場合、令和9年度の収支見通しを再算定する必要がある</w:t>
            </w:r>
          </w:p>
        </w:tc>
      </w:tr>
      <w:tr>
        <w:tc>
          <w:tcPr>
            <w:tcW w:type="dxa" w:w="3402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改定幅について合意が得られない</w:t>
            </w:r>
          </w:p>
        </w:tc>
        <w:tc>
          <w:tcPr>
            <w:tcW w:type="dxa" w:w="11339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第1次改定の幅を小さくし、段階改定の回数を増やす。ただし総括原価の回収時期が後ろ倒しになるため、資金残高への影響を別途示す</w:t>
            </w:r>
          </w:p>
        </w:tc>
      </w:tr>
    </w:tbl>
    <w:p>
      <w:pPr>
        <w:spacing w:after="80" w:line="276" w:lineRule="auto"/>
      </w:pPr>
    </w:p>
    <w:p>
      <w:r>
        <w:br w:type="page"/>
      </w:r>
    </w:p>
    <w:p>
      <w:pPr>
        <w:spacing w:before="280" w:after="140"/>
        <w:pBdr>
          <w:bottom w:val="single" w:sz="12" w:space="2" w:color="1F3864"/>
        </w:pBdr>
      </w:pPr>
      <w:r>
        <w:rPr>
          <w:rFonts w:ascii="ＭＳ ゴシック" w:hAnsi="ＭＳ ゴシック" w:eastAsia="ＭＳ ゴシック"/>
          <w:b/>
          <w:color w:val="1F3864"/>
          <w:sz w:val="26"/>
        </w:rPr>
        <w:t>5　女川町にお願いするデータ・確認事項の一覧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567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No</w:t>
            </w:r>
          </w:p>
        </w:tc>
        <w:tc>
          <w:tcPr>
            <w:tcW w:type="dxa" w:w="2608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事項</w:t>
            </w:r>
          </w:p>
        </w:tc>
        <w:tc>
          <w:tcPr>
            <w:tcW w:type="dxa" w:w="5443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1587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期限</w:t>
            </w:r>
          </w:p>
        </w:tc>
        <w:tc>
          <w:tcPr>
            <w:tcW w:type="dxa" w:w="2494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7"/>
              </w:rPr>
              <w:t>用途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1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令和6年度・令和7年度決算の確定値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損益計算書・貸借対照表の確定値。特に維持管理費、減価償却費、長期前受金戻入益、他会計補助金、支払利息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令和8年10月末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総括原価の確定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2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固定資産台帳残高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令和8年4月1日時点の帳簿価額（取水・浄水・配水の区分別）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令和8年10月末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資産維持費の対象資産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3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企業債の借入予定利率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建設改良費調査票の4事業分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令和8年10月末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支払利息の算定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4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償却年数の区分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鷲神高度処理設備（機械・電気設備）、江島海底送水管の償却年数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令和8年10月末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減価償却費の算定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5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江島海底送水管の属性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資産種別・更新／新規の別・補助／単独の別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令和8年10月末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施設区分別の集計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6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基準内繰入金の整理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繰出基準に基づき一般会計が負担すべき額。特に他会計補助金272,997千円および補助金419,000千円の性格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令和8年11月末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総括原価からの控除額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7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構造物及び設備の内訳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経営戦略26.4億円と調査票21.65億円の差4.75億円の内容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令和8年11月末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投資規模の確定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8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量水器更新費の計上方針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経営戦略の1.06億円を計上するか否か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令和8年11月末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投資規模の確定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9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水産加工業の実使用水量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事業者別・月別の使用水量（直近3年程度）。事業者名は匿名可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令和8年11月末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影響試算の精緻化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10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湯屋用・船舶用の実績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対象件数・使用水量・調定額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令和8年11月末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特殊用途区分の取扱いの検討</w:t>
            </w:r>
          </w:p>
        </w:tc>
      </w:tr>
      <w:tr>
        <w:tc>
          <w:tcPr>
            <w:tcW w:type="dxa" w:w="567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11</w:t>
            </w:r>
          </w:p>
        </w:tc>
        <w:tc>
          <w:tcPr>
            <w:tcW w:type="dxa" w:w="260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改定案の決定</w:t>
            </w:r>
          </w:p>
        </w:tc>
        <w:tc>
          <w:tcPr>
            <w:tcW w:type="dxa" w:w="5443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A〜E案から採用する案の決定</w:t>
            </w:r>
          </w:p>
        </w:tc>
        <w:tc>
          <w:tcPr>
            <w:tcW w:type="dxa" w:w="158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令和9年1月末</w:t>
            </w:r>
          </w:p>
        </w:tc>
        <w:tc>
          <w:tcPr>
            <w:tcW w:type="dxa" w:w="2494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7"/>
              </w:rPr>
              <w:t>最終報告書・条例改正案</w:t>
            </w:r>
          </w:p>
        </w:tc>
      </w:tr>
    </w:tbl>
    <w:p>
      <w:pPr>
        <w:spacing w:after="160" w:line="276" w:lineRule="auto"/>
      </w:pPr>
      <w:r>
        <w:rPr>
          <w:rFonts w:ascii="ＭＳ 明朝" w:hAnsi="ＭＳ 明朝" w:eastAsia="ＭＳ 明朝"/>
          <w:b w:val="0"/>
          <w:color w:val="595959"/>
          <w:sz w:val="17"/>
        </w:rPr>
        <w:t>※ 1〜5は総括原価の確定に不可欠であり、最優先でお願いしたい。9・10は取得が遅れる場合、推計値のまま最終報告を行うことも可能。</w:t>
      </w:r>
    </w:p>
    <w:p>
      <w:r>
        <w:br w:type="page"/>
      </w:r>
    </w:p>
    <w:p>
      <w:pPr>
        <w:spacing w:before="280" w:after="140"/>
        <w:pBdr>
          <w:bottom w:val="single" w:sz="12" w:space="2" w:color="1F3864"/>
        </w:pBdr>
      </w:pPr>
      <w:r>
        <w:rPr>
          <w:rFonts w:ascii="ＭＳ ゴシック" w:hAnsi="ＭＳ ゴシック" w:eastAsia="ＭＳ ゴシック"/>
          <w:b/>
          <w:color w:val="1F3864"/>
          <w:sz w:val="26"/>
        </w:rPr>
        <w:t>6　最終報告書の想定構成と中間報告からの主な変更点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1134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章</w:t>
            </w:r>
          </w:p>
        </w:tc>
        <w:tc>
          <w:tcPr>
            <w:tcW w:type="dxa" w:w="4876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8957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中間報告からの変更点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第1章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業務の目的と検討範囲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記載内容の更新のみ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第2章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女川町水道事業の概要と現行料金体系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変更なし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第3章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財務・経営指標からみた課題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令和6・7年度決算の確定値を反映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第4章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総括原価の算定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決算確定値・固定資産台帳・基準内繰入金を反映し数値を確定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第5章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料金改定シミュレーション①現行体系維持案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必要改定率を確定値で再算定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第6章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料金改定シミュレーション②赤字半減案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同上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第7章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料金改定シミュレーション③口径別料金表案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口径別の調定実績を反映して料金表を精緻化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第8章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料金体系の見直しに伴う影響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実使用水量データを反映。湯屋用・船舶用の実績を追加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第9章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改定案の比較と段階改定・経過措置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採用案を明示し、経過措置の具体設計を追加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第10章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住民・議会説明用の要約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説明会での意見を踏まえて修正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第11章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推奨案と実施に向けた留意事項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新設。条例改正の論点、システム改修、周知方法を記載</w:t>
            </w:r>
          </w:p>
        </w:tc>
      </w:tr>
      <w:tr>
        <w:tc>
          <w:tcPr>
            <w:tcW w:type="dxa" w:w="1134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参考</w:t>
            </w:r>
          </w:p>
        </w:tc>
        <w:tc>
          <w:tcPr>
            <w:tcW w:type="dxa" w:w="4876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県内料金体系統一化の動向</w:t>
            </w:r>
          </w:p>
        </w:tc>
        <w:tc>
          <w:tcPr>
            <w:tcW w:type="dxa" w:w="895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/>
                <w:sz w:val="18"/>
              </w:rPr>
              <w:t>新設。別途整理した検討資料を参考として添付</w:t>
            </w:r>
          </w:p>
        </w:tc>
      </w:tr>
    </w:tbl>
    <w:p>
      <w:pPr>
        <w:spacing w:after="160" w:line="276" w:lineRule="auto"/>
      </w:pPr>
      <w:r>
        <w:rPr>
          <w:rFonts w:ascii="ＭＳ 明朝" w:hAnsi="ＭＳ 明朝" w:eastAsia="ＭＳ 明朝"/>
          <w:b w:val="0"/>
          <w:color w:val="595959"/>
          <w:sz w:val="17"/>
        </w:rPr>
        <w:t>※ ★は中間報告から実質的な変更が生じる章。</w:t>
      </w:r>
    </w:p>
    <w:p>
      <w:pPr>
        <w:spacing w:before="200" w:after="80"/>
      </w:pPr>
      <w:r>
        <w:rPr>
          <w:rFonts w:ascii="ＭＳ ゴシック" w:hAnsi="ＭＳ ゴシック" w:eastAsia="ＭＳ ゴシック"/>
          <w:b/>
          <w:color w:val="2E75B6"/>
          <w:sz w:val="22"/>
        </w:rPr>
        <w:t>あわせて作成する資料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3061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資料</w:t>
            </w:r>
          </w:p>
        </w:tc>
        <w:tc>
          <w:tcPr>
            <w:tcW w:type="dxa" w:w="8277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628"/>
            <w:shd w:val="clear" w:fill="2E75B6"/>
          </w:tcPr>
          <w:p>
            <w:pPr>
              <w:spacing w:after="20"/>
              <w:jc w:val="center"/>
            </w:pPr>
            <w:r/>
            <w:r>
              <w:rPr>
                <w:rFonts w:ascii="ＭＳ ゴシック" w:hAnsi="ＭＳ ゴシック" w:eastAsia="ＭＳ ゴシック"/>
                <w:b/>
                <w:color w:val="FFFFFF"/>
                <w:sz w:val="18"/>
              </w:rPr>
              <w:t>提出時期</w:t>
            </w:r>
          </w:p>
        </w:tc>
      </w:tr>
      <w:tr>
        <w:tc>
          <w:tcPr>
            <w:tcW w:type="dxa" w:w="30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住民説明会用資料</w:t>
            </w:r>
          </w:p>
        </w:tc>
        <w:tc>
          <w:tcPr>
            <w:tcW w:type="dxa" w:w="827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中間報告書第10章を基に、図表中心の説明資料として作成</w:t>
            </w:r>
          </w:p>
        </w:tc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令和9年1月</w:t>
            </w:r>
          </w:p>
        </w:tc>
      </w:tr>
      <w:tr>
        <w:tc>
          <w:tcPr>
            <w:tcW w:type="dxa" w:w="30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議会説明資料</w:t>
            </w:r>
          </w:p>
        </w:tc>
        <w:tc>
          <w:tcPr>
            <w:tcW w:type="dxa" w:w="827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改定の必要性・改定案・影響・経過措置を簡潔にまとめたもの</w:t>
            </w:r>
          </w:p>
        </w:tc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令和9年2月</w:t>
            </w:r>
          </w:p>
        </w:tc>
      </w:tr>
      <w:tr>
        <w:tc>
          <w:tcPr>
            <w:tcW w:type="dxa" w:w="30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水産加工業者向け説明資料</w:t>
            </w:r>
          </w:p>
        </w:tc>
        <w:tc>
          <w:tcPr>
            <w:tcW w:type="dxa" w:w="827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規模別の影響額と経過措置の適用イメージ</w:t>
            </w:r>
          </w:p>
        </w:tc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令和9年1月</w:t>
            </w:r>
          </w:p>
        </w:tc>
      </w:tr>
      <w:tr>
        <w:tc>
          <w:tcPr>
            <w:tcW w:type="dxa" w:w="30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条例改正案の参考資料</w:t>
            </w:r>
          </w:p>
        </w:tc>
        <w:tc>
          <w:tcPr>
            <w:tcW w:type="dxa" w:w="827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料金表の新旧対照、他団体の条文例</w:t>
            </w:r>
          </w:p>
        </w:tc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令和9年2月</w:t>
            </w:r>
          </w:p>
        </w:tc>
      </w:tr>
      <w:tr>
        <w:tc>
          <w:tcPr>
            <w:tcW w:type="dxa" w:w="3061"/>
          </w:tcPr>
          <w:p>
            <w:pPr>
              <w:spacing w:after="20"/>
              <w:jc w:val="left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料金シミュレーション表（最終版）</w:t>
            </w:r>
          </w:p>
        </w:tc>
        <w:tc>
          <w:tcPr>
            <w:tcW w:type="dxa" w:w="8277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前提条件を切り替えて再計算できる形の計算表</w:t>
            </w:r>
          </w:p>
        </w:tc>
        <w:tc>
          <w:tcPr>
            <w:tcW w:type="dxa" w:w="3628"/>
          </w:tcPr>
          <w:p>
            <w:pPr>
              <w:spacing w:after="20"/>
              <w:jc w:val="center"/>
            </w:pPr>
            <w:r/>
            <w:r>
              <w:rPr>
                <w:rFonts w:ascii="ＭＳ 明朝" w:hAnsi="ＭＳ 明朝" w:eastAsia="ＭＳ 明朝"/>
                <w:b w:val="0"/>
                <w:sz w:val="18"/>
              </w:rPr>
              <w:t>令和9年2月</w:t>
            </w:r>
          </w:p>
        </w:tc>
      </w:tr>
    </w:tbl>
    <w:p>
      <w:pPr>
        <w:spacing w:after="80" w:line="276" w:lineRule="auto"/>
      </w:pPr>
    </w:p>
    <w:p>
      <w:pPr>
        <w:spacing w:after="280" w:line="276" w:lineRule="auto"/>
      </w:pPr>
    </w:p>
    <w:p>
      <w:pPr>
        <w:jc w:val="right"/>
      </w:pPr>
      <w:r>
        <w:rPr>
          <w:rFonts w:ascii="ＭＳ 明朝" w:hAnsi="ＭＳ 明朝" w:eastAsia="ＭＳ 明朝"/>
          <w:sz w:val="21"/>
        </w:rPr>
        <w:t>以　上</w:t>
      </w:r>
    </w:p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ＭＳ 明朝" w:hAnsi="ＭＳ 明朝" w:eastAsia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