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本日ご議論いただきたい事項</w:t>
      </w:r>
    </w:p>
    <w:p>
      <w:pPr>
        <w:spacing w:after="120" w:line="300"/>
      </w:pPr>
      <w:r>
        <w:rPr>
          <w:rFonts w:ascii="游明朝" w:cs="游明朝" w:eastAsia="游明朝" w:hAnsi="游明朝"/>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委員名簿</w:t>
      </w:r>
    </w:p>
    <w:p>
      <w:pPr>
        <w:spacing w:after="120" w:line="300"/>
      </w:pPr>
      <w:r>
        <w:rPr>
          <w:rFonts w:ascii="游明朝" w:cs="游明朝" w:eastAsia="游明朝" w:hAnsi="游明朝"/>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座席表</w:t>
      </w:r>
    </w:p>
    <w:p>
      <w:pPr>
        <w:spacing w:after="120" w:line="300"/>
      </w:pPr>
      <w:r>
        <w:rPr>
          <w:rFonts w:ascii="游明朝" w:cs="游明朝" w:eastAsia="游明朝" w:hAnsi="游明朝"/>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約97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頁数は目安である。資料2から資料8および別冊は、開催の1週間前までに事前送付する。別冊の素案は分量があるため、当日は資料4から資料7により要点をご説明する。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目標別にみると</w:t>
      </w:r>
    </w:p>
    <w:p>
      <w:pPr>
        <w:spacing w:after="120" w:line="300"/>
      </w:pPr>
      <w:r>
        <w:rPr>
          <w:rFonts w:ascii="游明朝" w:cs="游明朝" w:eastAsia="游明朝" w:hAnsi="游明朝"/>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1"/>
          <w:szCs w:val="21"/>
        </w:rPr>
        <w:t xml:space="preserve">成果指標群（目標Ⅳ）は令和8年度に低下しました</w:t>
      </w:r>
    </w:p>
    <w:p>
      <w:pPr>
        <w:spacing w:after="120" w:line="300"/>
      </w:pPr>
      <w:r>
        <w:rPr>
          <w:rFonts w:ascii="游明朝" w:cs="游明朝" w:eastAsia="游明朝" w:hAnsi="游明朝"/>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明朝" w:cs="游明朝" w:eastAsia="游明朝" w:hAnsi="游明朝"/>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明朝" w:cs="游明朝" w:eastAsia="游明朝" w:hAnsi="游明朝"/>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地区別の回収状況</w:t>
      </w:r>
    </w:p>
    <w:p>
      <w:pPr>
        <w:spacing w:after="120" w:line="300"/>
      </w:pPr>
      <w:r>
        <w:rPr>
          <w:rFonts w:ascii="游明朝" w:cs="游明朝" w:eastAsia="游明朝" w:hAnsi="游明朝"/>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対象者の属性（回収の偏りを見るための基準）</w:t>
      </w:r>
    </w:p>
    <w:p>
      <w:pPr>
        <w:spacing w:after="120" w:line="300"/>
      </w:pPr>
      <w:r>
        <w:rPr>
          <w:rFonts w:ascii="游明朝" w:cs="游明朝" w:eastAsia="游明朝" w:hAnsi="游明朝"/>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1"/>
          <w:szCs w:val="21"/>
        </w:rPr>
        <w:t xml:space="preserve">回答方法別の状況（第10期の新規）</w:t>
      </w:r>
    </w:p>
    <w:p>
      <w:pPr>
        <w:spacing w:after="120" w:line="300"/>
      </w:pPr>
      <w:r>
        <w:rPr>
          <w:rFonts w:ascii="游明朝" w:cs="游明朝" w:eastAsia="游明朝" w:hAnsi="游明朝"/>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生活機能からみた高齢者の姿</w:t>
      </w:r>
    </w:p>
    <w:p>
      <w:pPr>
        <w:spacing w:after="120" w:line="300"/>
      </w:pPr>
      <w:r>
        <w:rPr>
          <w:rFonts w:ascii="游明朝" w:cs="游明朝" w:eastAsia="游明朝" w:hAnsi="游明朝"/>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元気な軽度者はどれくらいいるか</w:t>
      </w:r>
    </w:p>
    <w:p>
      <w:pPr>
        <w:spacing w:after="120" w:line="300"/>
      </w:pPr>
      <w:r>
        <w:rPr>
          <w:rFonts w:ascii="游明朝" w:cs="游明朝" w:eastAsia="游明朝" w:hAnsi="游明朝"/>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生活機能からみた4つの層</w:t>
      </w:r>
    </w:p>
    <w:p>
      <w:pPr>
        <w:spacing w:after="120" w:line="300"/>
      </w:pPr>
      <w:r>
        <w:rPr>
          <w:rFonts w:ascii="游明朝" w:cs="游明朝" w:eastAsia="游明朝" w:hAnsi="游明朝"/>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1"/>
          <w:szCs w:val="21"/>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収を450〜500件と見込むと、4地区×3年齢階級に分けた場合の1区分は35〜42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支え合いの現状と孤立</w:t>
      </w:r>
    </w:p>
    <w:p>
      <w:pPr>
        <w:spacing w:after="120" w:line="300"/>
      </w:pPr>
      <w:r>
        <w:rPr>
          <w:rFonts w:ascii="游明朝" w:cs="游明朝" w:eastAsia="游明朝" w:hAnsi="游明朝"/>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1"/>
          <w:szCs w:val="21"/>
        </w:rPr>
        <w:t xml:space="preserve">独居・高齢者のみ世帯の状況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3-6　担い手の可能性</w:t>
      </w:r>
    </w:p>
    <w:p>
      <w:pPr>
        <w:spacing w:after="120" w:line="300"/>
      </w:pPr>
      <w:r>
        <w:rPr>
          <w:rFonts w:ascii="游明朝" w:cs="游明朝" w:eastAsia="游明朝" w:hAnsi="游明朝"/>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明朝" w:cs="游明朝" w:eastAsia="游明朝" w:hAnsi="游明朝"/>
          <w:sz w:val="21"/>
          <w:szCs w:val="21"/>
        </w:rPr>
        <w:t xml:space="preserve">あわせて、就労の状況と、ご近所との交流の頻度・人数を重ねます。時間に余裕のある層と、地域とのつながりが既にある層を特定するためです。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3-7　地区別の課題（移動・除雪）</w:t>
      </w:r>
    </w:p>
    <w:p>
      <w:pPr>
        <w:spacing w:after="120" w:line="300"/>
      </w:pPr>
      <w:r>
        <w:rPr>
          <w:rFonts w:ascii="游明朝" w:cs="游明朝" w:eastAsia="游明朝" w:hAnsi="游明朝"/>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3-8　在宅生活の継続に必要な支援</w:t>
      </w:r>
    </w:p>
    <w:p>
      <w:pPr>
        <w:spacing w:after="120" w:line="300"/>
      </w:pPr>
      <w:r>
        <w:rPr>
          <w:rFonts w:ascii="游明朝" w:cs="游明朝" w:eastAsia="游明朝" w:hAnsi="游明朝"/>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施設入所の検討状況と村内施設の有無</w:t>
      </w:r>
    </w:p>
    <w:p>
      <w:pPr>
        <w:spacing w:after="120" w:line="300"/>
      </w:pPr>
      <w:r>
        <w:rPr>
          <w:rFonts w:ascii="游明朝" w:cs="游明朝" w:eastAsia="游明朝" w:hAnsi="游明朝"/>
          <w:sz w:val="21"/>
          <w:szCs w:val="21"/>
        </w:rPr>
        <w:t xml:space="preserve">村内に入所できる施設がある場合に利用したいかを尋ねています。施設整備を第10期の議論の対象とするか（合意5）の判断材料です。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1"/>
          <w:szCs w:val="21"/>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310"/>
        <w:gridCol w:w="2059"/>
        <w:gridCol w:w="2434"/>
        <w:gridCol w:w="1685"/>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3-9　調査から見えた課題</w:t>
      </w:r>
    </w:p>
    <w:p>
      <w:pPr>
        <w:spacing w:after="120" w:line="300"/>
      </w:pPr>
      <w:r>
        <w:rPr>
          <w:rFonts w:ascii="游明朝" w:cs="游明朝" w:eastAsia="游明朝" w:hAnsi="游明朝"/>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課題の文言は集計結果により修正する。数値が想定と異なる場合は課題の順序も入れ替える。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明朝" w:cs="游明朝" w:eastAsia="游明朝" w:hAnsi="游明朝"/>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明朝" w:cs="游明朝" w:eastAsia="游明朝" w:hAnsi="游明朝"/>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spacing w:after="100" w:line="300"/>
      </w:pPr>
      <w:r>
        <w:rPr>
          <w:rFonts w:ascii="游ゴシック" w:cs="游ゴシック" w:eastAsia="游ゴシック" w:hAnsi="游ゴシック"/>
          <w:b/>
          <w:bCs/>
          <w:color w:val="2E75B6"/>
          <w:sz w:val="21"/>
          <w:szCs w:val="21"/>
        </w:rPr>
        <w:t xml:space="preserve">ご議論いただきたい論点：認定率をどう置くか</w:t>
      </w:r>
    </w:p>
    <w:p>
      <w:pPr>
        <w:spacing w:after="120" w:line="300"/>
      </w:pPr>
      <w:r>
        <w:rPr>
          <w:rFonts w:ascii="游明朝" w:cs="游明朝" w:eastAsia="游明朝" w:hAnsi="游明朝"/>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1"/>
          <w:szCs w:val="21"/>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1"/>
          <w:szCs w:val="21"/>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1"/>
          <w:szCs w:val="21"/>
        </w:rPr>
        <w:t xml:space="preserve">実績のないサービスの扱い</w:t>
      </w:r>
    </w:p>
    <w:p>
      <w:pPr>
        <w:spacing w:after="120" w:line="300"/>
      </w:pPr>
      <w:r>
        <w:rPr>
          <w:rFonts w:ascii="游明朝" w:cs="游明朝" w:eastAsia="游明朝" w:hAnsi="游明朝"/>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推計の幅をどう考えるか</w:t>
      </w:r>
    </w:p>
    <w:p>
      <w:pPr>
        <w:spacing w:after="120" w:line="300"/>
      </w:pPr>
      <w:r>
        <w:rPr>
          <w:rFonts w:ascii="游明朝" w:cs="游明朝" w:eastAsia="游明朝" w:hAnsi="游明朝"/>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明朝" w:cs="游明朝" w:eastAsia="游明朝" w:hAnsi="游明朝"/>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単価が趨勢的に上がっていること</w:t>
      </w:r>
    </w:p>
    <w:p>
      <w:pPr>
        <w:spacing w:after="120" w:line="300"/>
      </w:pPr>
      <w:r>
        <w:rPr>
          <w:rFonts w:ascii="游明朝" w:cs="游明朝" w:eastAsia="游明朝" w:hAnsi="游明朝"/>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1"/>
          <w:szCs w:val="21"/>
        </w:rPr>
        <w:t xml:space="preserve">② サービスごとの伸びが大きく違うこと</w:t>
      </w:r>
    </w:p>
    <w:p>
      <w:pPr>
        <w:spacing w:after="120" w:line="300"/>
      </w:pPr>
      <w:r>
        <w:rPr>
          <w:rFonts w:ascii="游明朝" w:cs="游明朝" w:eastAsia="游明朝" w:hAnsi="游明朝"/>
          <w:sz w:val="21"/>
          <w:szCs w:val="21"/>
        </w:rPr>
        <w:t xml:space="preserve">受給率を3か年平均で固定することは、すべてのサービスを認定者数の伸び（年＋2.62%）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明朝" w:cs="游明朝" w:eastAsia="游明朝" w:hAnsi="游明朝"/>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1"/>
          <w:szCs w:val="21"/>
        </w:rPr>
        <w:t xml:space="preserve">③ 推計そのものに誤差があること</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明朝" w:cs="游明朝" w:eastAsia="游明朝" w:hAnsi="游明朝"/>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1"/>
          <w:szCs w:val="21"/>
        </w:rPr>
        <w:t xml:space="preserve">④ 自己点検の結果</w:t>
      </w:r>
    </w:p>
    <w:p>
      <w:pPr>
        <w:spacing w:after="120" w:line="300"/>
      </w:pPr>
      <w:r>
        <w:rPr>
          <w:rFonts w:ascii="游明朝" w:cs="游明朝" w:eastAsia="游明朝" w:hAnsi="游明朝"/>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明朝" w:cs="游明朝" w:eastAsia="游明朝" w:hAnsi="游明朝"/>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明朝" w:cs="游明朝" w:eastAsia="游明朝" w:hAnsi="游明朝"/>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明朝" w:cs="游明朝" w:eastAsia="游明朝" w:hAnsi="游明朝"/>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保険料の算定の構造と感応度</w:t>
      </w:r>
    </w:p>
    <w:p>
      <w:pPr>
        <w:spacing w:after="120" w:line="300"/>
      </w:pPr>
      <w:r>
        <w:rPr>
          <w:rFonts w:ascii="游明朝" w:cs="游明朝" w:eastAsia="游明朝" w:hAnsi="游明朝"/>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どの前提がどれだけ効くか</w:t>
      </w:r>
    </w:p>
    <w:p>
      <w:pPr>
        <w:spacing w:after="120" w:line="300"/>
      </w:pPr>
      <w:r>
        <w:rPr>
          <w:rFonts w:ascii="游明朝" w:cs="游明朝" w:eastAsia="游明朝" w:hAnsi="游明朝"/>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6-3b　保険料の複数案（案）</w:t>
      </w:r>
    </w:p>
    <w:p>
      <w:pPr>
        <w:spacing w:after="120" w:line="300"/>
      </w:pPr>
      <w:r>
        <w:rPr>
          <w:rFonts w:ascii="游明朝" w:cs="游明朝" w:eastAsia="游明朝" w:hAnsi="游明朝"/>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1"/>
          <w:szCs w:val="21"/>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給付費が減っても保険料は下がりません</w:t>
      </w:r>
    </w:p>
    <w:p>
      <w:pPr>
        <w:spacing w:after="120" w:line="300"/>
      </w:pPr>
      <w:r>
        <w:rPr>
          <w:rFonts w:ascii="游明朝" w:cs="游明朝" w:eastAsia="游明朝" w:hAnsi="游明朝"/>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7-3b　全国と比べてどこを上げるか</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7-3c　計画に書くことで取得できる評価指標（61点）</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1"/>
          <w:szCs w:val="21"/>
        </w:rPr>
        <w:t xml:space="preserve">なかでも次の3つは、本計画を策定すること自体が条件を満たします</w:t>
      </w:r>
    </w:p>
    <w:p>
      <w:pPr>
        <w:pStyle w:val="ListParagraph"/>
        <w:numPr>
          <w:ilvl w:val="0"/>
          <w:numId w:val="2"/>
        </w:numPr>
        <w:spacing w:after="60" w:line="300"/>
      </w:pPr>
      <w:r>
        <w:rPr>
          <w:rFonts w:ascii="游明朝" w:cs="游明朝" w:eastAsia="游明朝" w:hAnsi="游明朝"/>
          <w:sz w:val="21"/>
          <w:szCs w:val="21"/>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明朝" w:cs="游明朝" w:eastAsia="游明朝" w:hAnsi="游明朝"/>
          <w:sz w:val="21"/>
          <w:szCs w:val="21"/>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1"/>
          <w:szCs w:val="21"/>
        </w:rPr>
        <w:t xml:space="preserve">村の取組の可否をご確認いただきたいもの</w:t>
      </w:r>
    </w:p>
    <w:p>
      <w:pPr>
        <w:pStyle w:val="ListParagraph"/>
        <w:numPr>
          <w:ilvl w:val="0"/>
          <w:numId w:val="2"/>
        </w:numPr>
        <w:spacing w:after="60" w:line="300"/>
      </w:pPr>
      <w:r>
        <w:rPr>
          <w:rFonts w:ascii="游明朝" w:cs="游明朝" w:eastAsia="游明朝" w:hAnsi="游明朝"/>
          <w:sz w:val="21"/>
          <w:szCs w:val="21"/>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明朝" w:cs="游明朝" w:eastAsia="游明朝" w:hAnsi="游明朝"/>
          <w:sz w:val="21"/>
          <w:szCs w:val="21"/>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明朝" w:cs="游明朝" w:eastAsia="游明朝" w:hAnsi="游明朝"/>
          <w:sz w:val="21"/>
          <w:szCs w:val="21"/>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明朝" w:cs="游明朝" w:eastAsia="游明朝" w:hAnsi="游明朝"/>
          <w:sz w:val="21"/>
          <w:szCs w:val="21"/>
        </w:rPr>
        <w:t xml:space="preserve">難聴高齢者への取組（10点）……普及啓発と早期発見の2段階です。受診状況の把握と受診率50%以上は全国でも14.6%・4.8%と取得が少ないため、第10期はまず前2段階に取り組みます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8-2　本日以降のスケジュール</w:t>
      </w:r>
    </w:p>
    <w:p>
      <w:pPr>
        <w:spacing w:after="120" w:line="300"/>
      </w:pPr>
      <w:r>
        <w:rPr>
          <w:rFonts w:ascii="游明朝" w:cs="游明朝" w:eastAsia="游明朝" w:hAnsi="游明朝"/>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8-3　本日ご確認いただきたい日程</w:t>
      </w:r>
    </w:p>
    <w:p>
      <w:pPr>
        <w:spacing w:after="120" w:line="300"/>
      </w:pPr>
      <w:r>
        <w:rPr>
          <w:rFonts w:ascii="游明朝" w:cs="游明朝" w:eastAsia="游明朝" w:hAnsi="游明朝"/>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8-4　スケジュール上の留意点</w:t>
      </w:r>
    </w:p>
    <w:p>
      <w:pPr>
        <w:spacing w:after="120" w:line="300"/>
      </w:pPr>
      <w:r>
        <w:rPr>
          <w:rFonts w:ascii="游明朝" w:cs="游明朝" w:eastAsia="游明朝" w:hAnsi="游明朝"/>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調査の集計が遅れた場合</w:t>
      </w:r>
    </w:p>
    <w:p>
      <w:pPr>
        <w:spacing w:after="120" w:line="300"/>
      </w:pPr>
      <w:r>
        <w:rPr>
          <w:rFonts w:ascii="游明朝" w:cs="游明朝" w:eastAsia="游明朝" w:hAnsi="游明朝"/>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2026-09-28T23:34:14.955Z</dcterms:created>
  <dcterms:modified xsi:type="dcterms:W3CDTF">2026-09-28T23:34:14.955Z</dcterms:modified>
</cp:coreProperties>
</file>

<file path=docProps/custom.xml><?xml version="1.0" encoding="utf-8"?>
<Properties xmlns="http://schemas.openxmlformats.org/officeDocument/2006/custom-properties" xmlns:vt="http://schemas.openxmlformats.org/officeDocument/2006/docPropsVTypes"/>
</file>