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right"/>
      </w:pPr>
      <w:r>
        <w:rPr>
          <w:rFonts w:ascii="ＭＳ ゴシック" w:hAnsi="ＭＳ ゴシック" w:eastAsia="ＭＳ ゴシック"/>
          <w:b w:val="0"/>
          <w:sz w:val="21"/>
        </w:rPr>
        <w:t>令和8年度　上下水道経営指標評価書作成等業務委託</w:t>
      </w:r>
    </w:p>
    <w:p>
      <w:pPr>
        <w:spacing w:after="200" w:line="276" w:lineRule="auto"/>
        <w:jc w:val="right"/>
      </w:pPr>
      <w:r>
        <w:rPr>
          <w:rFonts w:ascii="ＭＳ 明朝" w:hAnsi="ＭＳ 明朝" w:eastAsia="ＭＳ 明朝"/>
          <w:b w:val="0"/>
          <w:sz w:val="21"/>
        </w:rPr>
        <w:t>ビズアップ公共コンサルティング株式会社</w:t>
      </w:r>
    </w:p>
    <w:p>
      <w:pPr>
        <w:spacing w:before="280" w:after="140"/>
        <w:pBdr>
          <w:bottom w:val="single" w:sz="12" w:space="2" w:color="1F3864"/>
        </w:pBdr>
      </w:pPr>
      <w:r>
        <w:rPr>
          <w:rFonts w:ascii="ＭＳ ゴシック" w:hAnsi="ＭＳ ゴシック" w:eastAsia="ＭＳ ゴシック"/>
          <w:b/>
          <w:color w:val="1F3864"/>
          <w:sz w:val="27"/>
        </w:rPr>
        <w:t>女川町水道料金改定の検討　中間報告書　指摘事項対応表</w:t>
      </w:r>
    </w:p>
    <w:p>
      <w:pPr>
        <w:spacing w:after="120" w:line="276" w:lineRule="auto"/>
      </w:pPr>
      <w:r>
        <w:rPr>
          <w:rFonts w:ascii="ＭＳ 明朝" w:hAnsi="ＭＳ 明朝" w:eastAsia="ＭＳ 明朝"/>
          <w:b w:val="0"/>
          <w:color w:val="595959"/>
          <w:sz w:val="20"/>
        </w:rPr>
        <w:t>第1回（14件）・第2回（差戻し6件）</w:t>
      </w:r>
    </w:p>
    <w:p>
      <w:pPr>
        <w:spacing w:after="200" w:line="276" w:lineRule="auto"/>
      </w:pPr>
      <w:r>
        <w:rPr>
          <w:rFonts w:ascii="ＭＳ 明朝" w:hAnsi="ＭＳ 明朝" w:eastAsia="ＭＳ 明朝"/>
          <w:b w:val="0"/>
          <w:sz w:val="21"/>
        </w:rPr>
        <w:t>中間報告書（令和8年9月）に対する内部確認で指摘された14件について、対応内容と反映箇所を整理したものである。対応の結果、必要改定率は1.92倍から1.99倍に、給水原価は262.9円/㎥から272.4円/㎥に変更している。</w:t>
      </w:r>
    </w:p>
    <w:p>
      <w:pPr>
        <w:spacing w:before="200" w:after="80"/>
      </w:pPr>
      <w:r>
        <w:rPr>
          <w:rFonts w:ascii="ＭＳ ゴシック" w:hAnsi="ＭＳ ゴシック" w:eastAsia="ＭＳ ゴシック"/>
          <w:b/>
          <w:color w:val="2E75B6"/>
          <w:sz w:val="23"/>
        </w:rPr>
        <w:t>1　第1回指摘による主要数値の変更</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c>
          <w:tcPr>
            <w:tcW w:type="dxa" w:w="2835"/>
            <w:shd w:val="clear" w:fill="2E75B6"/>
          </w:tcPr>
          <w:p>
            <w:pPr>
              <w:spacing w:after="40"/>
              <w:jc w:val="center"/>
            </w:pPr>
            <w:r/>
            <w:r>
              <w:rPr>
                <w:rFonts w:ascii="ＭＳ ゴシック" w:hAnsi="ＭＳ ゴシック" w:eastAsia="ＭＳ ゴシック"/>
                <w:b/>
                <w:color w:val="FFFFFF"/>
                <w:sz w:val="18"/>
              </w:rPr>
              <w:t>指標</w:t>
            </w:r>
          </w:p>
        </w:tc>
        <w:tc>
          <w:tcPr>
            <w:tcW w:type="dxa" w:w="2268"/>
            <w:shd w:val="clear" w:fill="2E75B6"/>
          </w:tcPr>
          <w:p>
            <w:pPr>
              <w:spacing w:after="40"/>
              <w:jc w:val="center"/>
            </w:pPr>
            <w:r/>
            <w:r>
              <w:rPr>
                <w:rFonts w:ascii="ＭＳ ゴシック" w:hAnsi="ＭＳ ゴシック" w:eastAsia="ＭＳ ゴシック"/>
                <w:b/>
                <w:color w:val="FFFFFF"/>
                <w:sz w:val="18"/>
              </w:rPr>
              <w:t>修正前</w:t>
            </w:r>
          </w:p>
        </w:tc>
        <w:tc>
          <w:tcPr>
            <w:tcW w:type="dxa" w:w="2268"/>
            <w:shd w:val="clear" w:fill="2E75B6"/>
          </w:tcPr>
          <w:p>
            <w:pPr>
              <w:spacing w:after="40"/>
              <w:jc w:val="center"/>
            </w:pPr>
            <w:r/>
            <w:r>
              <w:rPr>
                <w:rFonts w:ascii="ＭＳ ゴシック" w:hAnsi="ＭＳ ゴシック" w:eastAsia="ＭＳ ゴシック"/>
                <w:b/>
                <w:color w:val="FFFFFF"/>
                <w:sz w:val="18"/>
              </w:rPr>
              <w:t>修正後</w:t>
            </w:r>
          </w:p>
        </w:tc>
        <w:tc>
          <w:tcPr>
            <w:tcW w:type="dxa" w:w="7654"/>
            <w:shd w:val="clear" w:fill="2E75B6"/>
          </w:tcPr>
          <w:p>
            <w:pPr>
              <w:spacing w:after="40"/>
              <w:jc w:val="center"/>
            </w:pPr>
            <w:r/>
            <w:r>
              <w:rPr>
                <w:rFonts w:ascii="ＭＳ ゴシック" w:hAnsi="ＭＳ ゴシック" w:eastAsia="ＭＳ ゴシック"/>
                <w:b/>
                <w:color w:val="FFFFFF"/>
                <w:sz w:val="18"/>
              </w:rPr>
              <w:t>変更の理由</w:t>
            </w:r>
          </w:p>
        </w:tc>
      </w:tr>
      <w:tr>
        <w:tc>
          <w:tcPr>
            <w:tcW w:type="dxa" w:w="2835"/>
          </w:tcPr>
          <w:p>
            <w:pPr>
              <w:spacing w:after="40"/>
              <w:jc w:val="center"/>
            </w:pPr>
            <w:r/>
            <w:r>
              <w:rPr>
                <w:rFonts w:ascii="ＭＳ 明朝" w:hAnsi="ＭＳ 明朝" w:eastAsia="ＭＳ 明朝"/>
                <w:b w:val="0"/>
                <w:sz w:val="18"/>
              </w:rPr>
              <w:t>減価償却費（5年計）</w:t>
            </w:r>
          </w:p>
        </w:tc>
        <w:tc>
          <w:tcPr>
            <w:tcW w:type="dxa" w:w="2268"/>
          </w:tcPr>
          <w:p>
            <w:pPr>
              <w:spacing w:after="40"/>
              <w:jc w:val="left"/>
            </w:pPr>
            <w:r/>
            <w:r>
              <w:rPr>
                <w:rFonts w:ascii="ＭＳ 明朝" w:hAnsi="ＭＳ 明朝" w:eastAsia="ＭＳ 明朝"/>
                <w:b w:val="0"/>
                <w:sz w:val="18"/>
              </w:rPr>
              <w:t>1,961,661千円</w:t>
            </w:r>
          </w:p>
        </w:tc>
        <w:tc>
          <w:tcPr>
            <w:tcW w:type="dxa" w:w="2268"/>
          </w:tcPr>
          <w:p>
            <w:pPr>
              <w:spacing w:after="40"/>
              <w:jc w:val="left"/>
            </w:pPr>
            <w:r/>
            <w:r>
              <w:rPr>
                <w:rFonts w:ascii="ＭＳ 明朝" w:hAnsi="ＭＳ 明朝" w:eastAsia="ＭＳ 明朝"/>
                <w:b w:val="0"/>
                <w:sz w:val="18"/>
              </w:rPr>
              <w:t>2,002,979千円</w:t>
            </w:r>
          </w:p>
        </w:tc>
        <w:tc>
          <w:tcPr>
            <w:tcW w:type="dxa" w:w="7654"/>
          </w:tcPr>
          <w:p>
            <w:pPr>
              <w:spacing w:after="40"/>
              <w:jc w:val="left"/>
            </w:pPr>
            <w:r/>
            <w:r>
              <w:rPr>
                <w:rFonts w:ascii="ＭＳ 明朝" w:hAnsi="ＭＳ 明朝" w:eastAsia="ＭＳ 明朝"/>
                <w:b w:val="0"/>
                <w:sz w:val="18"/>
              </w:rPr>
              <w:t>既存資産分を財政シミュレーションの計上額に直接接続（R02）</w:t>
            </w:r>
          </w:p>
        </w:tc>
      </w:tr>
      <w:tr>
        <w:tc>
          <w:tcPr>
            <w:tcW w:type="dxa" w:w="2835"/>
          </w:tcPr>
          <w:p>
            <w:pPr>
              <w:spacing w:after="40"/>
              <w:jc w:val="center"/>
            </w:pPr>
            <w:r/>
            <w:r>
              <w:rPr>
                <w:rFonts w:ascii="ＭＳ 明朝" w:hAnsi="ＭＳ 明朝" w:eastAsia="ＭＳ 明朝"/>
                <w:b w:val="0"/>
                <w:sz w:val="18"/>
              </w:rPr>
              <w:t>総括原価（5年計）</w:t>
            </w:r>
          </w:p>
        </w:tc>
        <w:tc>
          <w:tcPr>
            <w:tcW w:type="dxa" w:w="2268"/>
          </w:tcPr>
          <w:p>
            <w:pPr>
              <w:spacing w:after="40"/>
              <w:jc w:val="left"/>
            </w:pPr>
            <w:r/>
            <w:r>
              <w:rPr>
                <w:rFonts w:ascii="ＭＳ 明朝" w:hAnsi="ＭＳ 明朝" w:eastAsia="ＭＳ 明朝"/>
                <w:b w:val="0"/>
                <w:sz w:val="18"/>
              </w:rPr>
              <w:t>1,134,492千円</w:t>
            </w:r>
          </w:p>
        </w:tc>
        <w:tc>
          <w:tcPr>
            <w:tcW w:type="dxa" w:w="2268"/>
          </w:tcPr>
          <w:p>
            <w:pPr>
              <w:spacing w:after="40"/>
              <w:jc w:val="left"/>
            </w:pPr>
            <w:r/>
            <w:r>
              <w:rPr>
                <w:rFonts w:ascii="ＭＳ 明朝" w:hAnsi="ＭＳ 明朝" w:eastAsia="ＭＳ 明朝"/>
                <w:b w:val="0"/>
                <w:sz w:val="18"/>
              </w:rPr>
              <w:t>1,175,810千円</w:t>
            </w:r>
          </w:p>
        </w:tc>
        <w:tc>
          <w:tcPr>
            <w:tcW w:type="dxa" w:w="7654"/>
          </w:tcPr>
          <w:p>
            <w:pPr>
              <w:spacing w:after="40"/>
              <w:jc w:val="left"/>
            </w:pPr>
            <w:r/>
            <w:r>
              <w:rPr>
                <w:rFonts w:ascii="ＭＳ 明朝" w:hAnsi="ＭＳ 明朝" w:eastAsia="ＭＳ 明朝"/>
                <w:b w:val="0"/>
                <w:sz w:val="18"/>
              </w:rPr>
              <w:t>上記の反映</w:t>
            </w:r>
          </w:p>
        </w:tc>
      </w:tr>
      <w:tr>
        <w:tc>
          <w:tcPr>
            <w:tcW w:type="dxa" w:w="2835"/>
          </w:tcPr>
          <w:p>
            <w:pPr>
              <w:spacing w:after="40"/>
              <w:jc w:val="center"/>
            </w:pPr>
            <w:r/>
            <w:r>
              <w:rPr>
                <w:rFonts w:ascii="ＭＳ 明朝" w:hAnsi="ＭＳ 明朝" w:eastAsia="ＭＳ 明朝"/>
                <w:b w:val="0"/>
                <w:sz w:val="18"/>
              </w:rPr>
              <w:t>給水原価</w:t>
            </w:r>
          </w:p>
        </w:tc>
        <w:tc>
          <w:tcPr>
            <w:tcW w:type="dxa" w:w="2268"/>
          </w:tcPr>
          <w:p>
            <w:pPr>
              <w:spacing w:after="40"/>
              <w:jc w:val="left"/>
            </w:pPr>
            <w:r/>
            <w:r>
              <w:rPr>
                <w:rFonts w:ascii="ＭＳ 明朝" w:hAnsi="ＭＳ 明朝" w:eastAsia="ＭＳ 明朝"/>
                <w:b w:val="0"/>
                <w:sz w:val="18"/>
              </w:rPr>
              <w:t>262.9円/㎥</w:t>
            </w:r>
          </w:p>
        </w:tc>
        <w:tc>
          <w:tcPr>
            <w:tcW w:type="dxa" w:w="2268"/>
          </w:tcPr>
          <w:p>
            <w:pPr>
              <w:spacing w:after="40"/>
              <w:jc w:val="left"/>
            </w:pPr>
            <w:r/>
            <w:r>
              <w:rPr>
                <w:rFonts w:ascii="ＭＳ 明朝" w:hAnsi="ＭＳ 明朝" w:eastAsia="ＭＳ 明朝"/>
                <w:b w:val="0"/>
                <w:sz w:val="18"/>
              </w:rPr>
              <w:t>272.4円/㎥</w:t>
            </w:r>
          </w:p>
        </w:tc>
        <w:tc>
          <w:tcPr>
            <w:tcW w:type="dxa" w:w="7654"/>
          </w:tcPr>
          <w:p>
            <w:pPr>
              <w:spacing w:after="40"/>
              <w:jc w:val="left"/>
            </w:pPr>
            <w:r/>
            <w:r>
              <w:rPr>
                <w:rFonts w:ascii="ＭＳ 明朝" w:hAnsi="ＭＳ 明朝" w:eastAsia="ＭＳ 明朝"/>
                <w:b w:val="0"/>
                <w:sz w:val="18"/>
              </w:rPr>
              <w:t>上記の反映</w:t>
            </w:r>
          </w:p>
        </w:tc>
      </w:tr>
      <w:tr>
        <w:tc>
          <w:tcPr>
            <w:tcW w:type="dxa" w:w="2835"/>
          </w:tcPr>
          <w:p>
            <w:pPr>
              <w:spacing w:after="40"/>
              <w:jc w:val="center"/>
            </w:pPr>
            <w:r/>
            <w:r>
              <w:rPr>
                <w:rFonts w:ascii="ＭＳ 明朝" w:hAnsi="ＭＳ 明朝" w:eastAsia="ＭＳ 明朝"/>
                <w:b w:val="0"/>
                <w:sz w:val="18"/>
              </w:rPr>
              <w:t>総括原価回収割合</w:t>
            </w:r>
          </w:p>
        </w:tc>
        <w:tc>
          <w:tcPr>
            <w:tcW w:type="dxa" w:w="2268"/>
          </w:tcPr>
          <w:p>
            <w:pPr>
              <w:spacing w:after="40"/>
              <w:jc w:val="left"/>
            </w:pPr>
            <w:r/>
            <w:r>
              <w:rPr>
                <w:rFonts w:ascii="ＭＳ 明朝" w:hAnsi="ＭＳ 明朝" w:eastAsia="ＭＳ 明朝"/>
                <w:b w:val="0"/>
                <w:sz w:val="18"/>
              </w:rPr>
              <w:t>52.1％</w:t>
            </w:r>
          </w:p>
        </w:tc>
        <w:tc>
          <w:tcPr>
            <w:tcW w:type="dxa" w:w="2268"/>
          </w:tcPr>
          <w:p>
            <w:pPr>
              <w:spacing w:after="40"/>
              <w:jc w:val="left"/>
            </w:pPr>
            <w:r/>
            <w:r>
              <w:rPr>
                <w:rFonts w:ascii="ＭＳ 明朝" w:hAnsi="ＭＳ 明朝" w:eastAsia="ＭＳ 明朝"/>
                <w:b w:val="0"/>
                <w:sz w:val="18"/>
              </w:rPr>
              <w:t>50.3％</w:t>
            </w:r>
          </w:p>
        </w:tc>
        <w:tc>
          <w:tcPr>
            <w:tcW w:type="dxa" w:w="7654"/>
          </w:tcPr>
          <w:p>
            <w:pPr>
              <w:spacing w:after="40"/>
              <w:jc w:val="left"/>
            </w:pPr>
            <w:r/>
            <w:r>
              <w:rPr>
                <w:rFonts w:ascii="ＭＳ 明朝" w:hAnsi="ＭＳ 明朝" w:eastAsia="ＭＳ 明朝"/>
                <w:b w:val="0"/>
                <w:sz w:val="18"/>
              </w:rPr>
              <w:t>上記の反映</w:t>
            </w:r>
          </w:p>
        </w:tc>
      </w:tr>
      <w:tr>
        <w:tc>
          <w:tcPr>
            <w:tcW w:type="dxa" w:w="2835"/>
          </w:tcPr>
          <w:p>
            <w:pPr>
              <w:spacing w:after="40"/>
              <w:jc w:val="center"/>
            </w:pPr>
            <w:r/>
            <w:r>
              <w:rPr>
                <w:rFonts w:ascii="ＭＳ 明朝" w:hAnsi="ＭＳ 明朝" w:eastAsia="ＭＳ 明朝"/>
                <w:b w:val="0"/>
                <w:sz w:val="18"/>
              </w:rPr>
              <w:t>年間不足額</w:t>
            </w:r>
          </w:p>
        </w:tc>
        <w:tc>
          <w:tcPr>
            <w:tcW w:type="dxa" w:w="2268"/>
          </w:tcPr>
          <w:p>
            <w:pPr>
              <w:spacing w:after="40"/>
              <w:jc w:val="left"/>
            </w:pPr>
            <w:r/>
            <w:r>
              <w:rPr>
                <w:rFonts w:ascii="ＭＳ 明朝" w:hAnsi="ＭＳ 明朝" w:eastAsia="ＭＳ 明朝"/>
                <w:b w:val="0"/>
                <w:sz w:val="18"/>
              </w:rPr>
              <w:t>108,729千円/年</w:t>
            </w:r>
          </w:p>
        </w:tc>
        <w:tc>
          <w:tcPr>
            <w:tcW w:type="dxa" w:w="2268"/>
          </w:tcPr>
          <w:p>
            <w:pPr>
              <w:spacing w:after="40"/>
              <w:jc w:val="left"/>
            </w:pPr>
            <w:r/>
            <w:r>
              <w:rPr>
                <w:rFonts w:ascii="ＭＳ 明朝" w:hAnsi="ＭＳ 明朝" w:eastAsia="ＭＳ 明朝"/>
                <w:b w:val="0"/>
                <w:sz w:val="18"/>
              </w:rPr>
              <w:t>116,993千円/年</w:t>
            </w:r>
          </w:p>
        </w:tc>
        <w:tc>
          <w:tcPr>
            <w:tcW w:type="dxa" w:w="7654"/>
          </w:tcPr>
          <w:p>
            <w:pPr>
              <w:spacing w:after="40"/>
              <w:jc w:val="left"/>
            </w:pPr>
            <w:r/>
            <w:r>
              <w:rPr>
                <w:rFonts w:ascii="ＭＳ 明朝" w:hAnsi="ＭＳ 明朝" w:eastAsia="ＭＳ 明朝"/>
                <w:b w:val="0"/>
                <w:sz w:val="18"/>
              </w:rPr>
              <w:t>上記の反映</w:t>
            </w:r>
          </w:p>
        </w:tc>
      </w:tr>
      <w:tr>
        <w:tc>
          <w:tcPr>
            <w:tcW w:type="dxa" w:w="2835"/>
          </w:tcPr>
          <w:p>
            <w:pPr>
              <w:spacing w:after="40"/>
              <w:jc w:val="center"/>
            </w:pPr>
            <w:r/>
            <w:r>
              <w:rPr>
                <w:rFonts w:ascii="ＭＳ 明朝" w:hAnsi="ＭＳ 明朝" w:eastAsia="ＭＳ 明朝"/>
                <w:b/>
                <w:sz w:val="18"/>
              </w:rPr>
              <w:t>必要改定率</w:t>
            </w:r>
          </w:p>
        </w:tc>
        <w:tc>
          <w:tcPr>
            <w:tcW w:type="dxa" w:w="2268"/>
          </w:tcPr>
          <w:p>
            <w:pPr>
              <w:spacing w:after="40"/>
              <w:jc w:val="left"/>
            </w:pPr>
            <w:r/>
            <w:r>
              <w:rPr>
                <w:rFonts w:ascii="ＭＳ 明朝" w:hAnsi="ＭＳ 明朝" w:eastAsia="ＭＳ 明朝"/>
                <w:b/>
                <w:sz w:val="18"/>
              </w:rPr>
              <w:t>1.92倍</w:t>
            </w:r>
          </w:p>
        </w:tc>
        <w:tc>
          <w:tcPr>
            <w:tcW w:type="dxa" w:w="2268"/>
          </w:tcPr>
          <w:p>
            <w:pPr>
              <w:spacing w:after="40"/>
              <w:jc w:val="left"/>
            </w:pPr>
            <w:r/>
            <w:r>
              <w:rPr>
                <w:rFonts w:ascii="ＭＳ 明朝" w:hAnsi="ＭＳ 明朝" w:eastAsia="ＭＳ 明朝"/>
                <w:b/>
                <w:sz w:val="18"/>
              </w:rPr>
              <w:t>1.99倍</w:t>
            </w:r>
          </w:p>
        </w:tc>
        <w:tc>
          <w:tcPr>
            <w:tcW w:type="dxa" w:w="7654"/>
          </w:tcPr>
          <w:p>
            <w:pPr>
              <w:spacing w:after="40"/>
              <w:jc w:val="left"/>
            </w:pPr>
            <w:r/>
            <w:r>
              <w:rPr>
                <w:rFonts w:ascii="ＭＳ 明朝" w:hAnsi="ＭＳ 明朝" w:eastAsia="ＭＳ 明朝"/>
                <w:b/>
                <w:sz w:val="18"/>
              </w:rPr>
              <w:t>上記の反映</w:t>
            </w:r>
          </w:p>
        </w:tc>
      </w:tr>
      <w:tr>
        <w:tc>
          <w:tcPr>
            <w:tcW w:type="dxa" w:w="2835"/>
          </w:tcPr>
          <w:p>
            <w:pPr>
              <w:spacing w:after="40"/>
              <w:jc w:val="center"/>
            </w:pPr>
            <w:r/>
            <w:r>
              <w:rPr>
                <w:rFonts w:ascii="ＭＳ 明朝" w:hAnsi="ＭＳ 明朝" w:eastAsia="ＭＳ 明朝"/>
                <w:b w:val="0"/>
                <w:sz w:val="18"/>
              </w:rPr>
              <w:t>繰入金を控除しない場合</w:t>
            </w:r>
          </w:p>
        </w:tc>
        <w:tc>
          <w:tcPr>
            <w:tcW w:type="dxa" w:w="2268"/>
          </w:tcPr>
          <w:p>
            <w:pPr>
              <w:spacing w:after="40"/>
              <w:jc w:val="left"/>
            </w:pPr>
            <w:r/>
            <w:r>
              <w:rPr>
                <w:rFonts w:ascii="ＭＳ 明朝" w:hAnsi="ＭＳ 明朝" w:eastAsia="ＭＳ 明朝"/>
                <w:b w:val="0"/>
                <w:sz w:val="18"/>
              </w:rPr>
              <w:t>2.38倍</w:t>
            </w:r>
          </w:p>
        </w:tc>
        <w:tc>
          <w:tcPr>
            <w:tcW w:type="dxa" w:w="2268"/>
          </w:tcPr>
          <w:p>
            <w:pPr>
              <w:spacing w:after="40"/>
              <w:jc w:val="left"/>
            </w:pPr>
            <w:r/>
            <w:r>
              <w:rPr>
                <w:rFonts w:ascii="ＭＳ 明朝" w:hAnsi="ＭＳ 明朝" w:eastAsia="ＭＳ 明朝"/>
                <w:b w:val="0"/>
                <w:sz w:val="18"/>
              </w:rPr>
              <w:t>2.45倍</w:t>
            </w:r>
          </w:p>
        </w:tc>
        <w:tc>
          <w:tcPr>
            <w:tcW w:type="dxa" w:w="7654"/>
          </w:tcPr>
          <w:p>
            <w:pPr>
              <w:spacing w:after="40"/>
              <w:jc w:val="left"/>
            </w:pPr>
            <w:r/>
            <w:r>
              <w:rPr>
                <w:rFonts w:ascii="ＭＳ 明朝" w:hAnsi="ＭＳ 明朝" w:eastAsia="ＭＳ 明朝"/>
                <w:b w:val="0"/>
                <w:sz w:val="18"/>
              </w:rPr>
              <w:t>上記の反映。上限値としての表示は取りやめ（R13）</w:t>
            </w:r>
          </w:p>
        </w:tc>
      </w:tr>
      <w:tr>
        <w:tc>
          <w:tcPr>
            <w:tcW w:type="dxa" w:w="2835"/>
          </w:tcPr>
          <w:p>
            <w:pPr>
              <w:spacing w:after="40"/>
              <w:jc w:val="center"/>
            </w:pPr>
            <w:r/>
            <w:r>
              <w:rPr>
                <w:rFonts w:ascii="ＭＳ 明朝" w:hAnsi="ＭＳ 明朝" w:eastAsia="ＭＳ 明朝"/>
                <w:b w:val="0"/>
                <w:sz w:val="18"/>
              </w:rPr>
              <w:t>標準家庭（20mm・20㎥）</w:t>
            </w:r>
          </w:p>
        </w:tc>
        <w:tc>
          <w:tcPr>
            <w:tcW w:type="dxa" w:w="2268"/>
          </w:tcPr>
          <w:p>
            <w:pPr>
              <w:spacing w:after="40"/>
              <w:jc w:val="left"/>
            </w:pPr>
            <w:r/>
            <w:r>
              <w:rPr>
                <w:rFonts w:ascii="ＭＳ 明朝" w:hAnsi="ＭＳ 明朝" w:eastAsia="ＭＳ 明朝"/>
                <w:b w:val="0"/>
                <w:sz w:val="18"/>
              </w:rPr>
              <w:t>4,795円</w:t>
            </w:r>
          </w:p>
        </w:tc>
        <w:tc>
          <w:tcPr>
            <w:tcW w:type="dxa" w:w="2268"/>
          </w:tcPr>
          <w:p>
            <w:pPr>
              <w:spacing w:after="40"/>
              <w:jc w:val="left"/>
            </w:pPr>
            <w:r/>
            <w:r>
              <w:rPr>
                <w:rFonts w:ascii="ＭＳ 明朝" w:hAnsi="ＭＳ 明朝" w:eastAsia="ＭＳ 明朝"/>
                <w:b w:val="0"/>
                <w:sz w:val="18"/>
              </w:rPr>
              <w:t>4,969円</w:t>
            </w:r>
          </w:p>
        </w:tc>
        <w:tc>
          <w:tcPr>
            <w:tcW w:type="dxa" w:w="7654"/>
          </w:tcPr>
          <w:p>
            <w:pPr>
              <w:spacing w:after="40"/>
              <w:jc w:val="left"/>
            </w:pPr>
            <w:r/>
            <w:r>
              <w:rPr>
                <w:rFonts w:ascii="ＭＳ 明朝" w:hAnsi="ＭＳ 明朝" w:eastAsia="ＭＳ 明朝"/>
                <w:b w:val="0"/>
                <w:sz w:val="18"/>
              </w:rPr>
              <w:t>必要改定率の変更</w:t>
            </w:r>
          </w:p>
        </w:tc>
      </w:tr>
      <w:tr>
        <w:tc>
          <w:tcPr>
            <w:tcW w:type="dxa" w:w="2835"/>
          </w:tcPr>
          <w:p>
            <w:pPr>
              <w:spacing w:after="40"/>
              <w:jc w:val="center"/>
            </w:pPr>
            <w:r/>
            <w:r>
              <w:rPr>
                <w:rFonts w:ascii="ＭＳ 明朝" w:hAnsi="ＭＳ 明朝" w:eastAsia="ＭＳ 明朝"/>
                <w:b w:val="0"/>
                <w:sz w:val="18"/>
              </w:rPr>
              <w:t>口径別3-A　標準家庭</w:t>
            </w:r>
          </w:p>
        </w:tc>
        <w:tc>
          <w:tcPr>
            <w:tcW w:type="dxa" w:w="2268"/>
          </w:tcPr>
          <w:p>
            <w:pPr>
              <w:spacing w:after="40"/>
              <w:jc w:val="left"/>
            </w:pPr>
            <w:r/>
            <w:r>
              <w:rPr>
                <w:rFonts w:ascii="ＭＳ 明朝" w:hAnsi="ＭＳ 明朝" w:eastAsia="ＭＳ 明朝"/>
                <w:b w:val="0"/>
                <w:sz w:val="18"/>
              </w:rPr>
              <w:t>4,020円</w:t>
            </w:r>
          </w:p>
        </w:tc>
        <w:tc>
          <w:tcPr>
            <w:tcW w:type="dxa" w:w="2268"/>
          </w:tcPr>
          <w:p>
            <w:pPr>
              <w:spacing w:after="40"/>
              <w:jc w:val="left"/>
            </w:pPr>
            <w:r/>
            <w:r>
              <w:rPr>
                <w:rFonts w:ascii="ＭＳ 明朝" w:hAnsi="ＭＳ 明朝" w:eastAsia="ＭＳ 明朝"/>
                <w:b w:val="0"/>
                <w:sz w:val="18"/>
              </w:rPr>
              <w:t>4,166円</w:t>
            </w:r>
          </w:p>
        </w:tc>
        <w:tc>
          <w:tcPr>
            <w:tcW w:type="dxa" w:w="7654"/>
          </w:tcPr>
          <w:p>
            <w:pPr>
              <w:spacing w:after="40"/>
              <w:jc w:val="left"/>
            </w:pPr>
            <w:r/>
            <w:r>
              <w:rPr>
                <w:rFonts w:ascii="ＭＳ 明朝" w:hAnsi="ＭＳ 明朝" w:eastAsia="ＭＳ 明朝"/>
                <w:b w:val="0"/>
                <w:sz w:val="18"/>
              </w:rPr>
              <w:t>総括原価に合わせた水準係数の再調整</w:t>
            </w:r>
          </w:p>
        </w:tc>
      </w:tr>
      <w:tr>
        <w:tc>
          <w:tcPr>
            <w:tcW w:type="dxa" w:w="2835"/>
          </w:tcPr>
          <w:p>
            <w:pPr>
              <w:spacing w:after="40"/>
              <w:jc w:val="center"/>
            </w:pPr>
            <w:r/>
            <w:r>
              <w:rPr>
                <w:rFonts w:ascii="ＭＳ 明朝" w:hAnsi="ＭＳ 明朝" w:eastAsia="ＭＳ 明朝"/>
                <w:b w:val="0"/>
                <w:sz w:val="18"/>
              </w:rPr>
              <w:t>産業特例による減収</w:t>
            </w:r>
          </w:p>
        </w:tc>
        <w:tc>
          <w:tcPr>
            <w:tcW w:type="dxa" w:w="2268"/>
          </w:tcPr>
          <w:p>
            <w:pPr>
              <w:spacing w:after="40"/>
              <w:jc w:val="left"/>
            </w:pPr>
            <w:r/>
            <w:r>
              <w:rPr>
                <w:rFonts w:ascii="ＭＳ 明朝" w:hAnsi="ＭＳ 明朝" w:eastAsia="ＭＳ 明朝"/>
                <w:b w:val="0"/>
                <w:sz w:val="18"/>
              </w:rPr>
              <w:t>約72百万円/年</w:t>
            </w:r>
          </w:p>
        </w:tc>
        <w:tc>
          <w:tcPr>
            <w:tcW w:type="dxa" w:w="2268"/>
          </w:tcPr>
          <w:p>
            <w:pPr>
              <w:spacing w:after="40"/>
              <w:jc w:val="left"/>
            </w:pPr>
            <w:r/>
            <w:r>
              <w:rPr>
                <w:rFonts w:ascii="ＭＳ 明朝" w:hAnsi="ＭＳ 明朝" w:eastAsia="ＭＳ 明朝"/>
                <w:b w:val="0"/>
                <w:sz w:val="18"/>
              </w:rPr>
              <w:t>算定していない</w:t>
            </w:r>
          </w:p>
        </w:tc>
        <w:tc>
          <w:tcPr>
            <w:tcW w:type="dxa" w:w="7654"/>
          </w:tcPr>
          <w:p>
            <w:pPr>
              <w:spacing w:after="40"/>
              <w:jc w:val="left"/>
            </w:pPr>
            <w:r/>
            <w:r>
              <w:rPr>
                <w:rFonts w:ascii="ＭＳ 明朝" w:hAnsi="ＭＳ 明朝" w:eastAsia="ＭＳ 明朝"/>
                <w:b w:val="0"/>
                <w:sz w:val="18"/>
              </w:rPr>
              <w:t>母集団が接続しないため算定を取り下げ（R04）</w:t>
            </w:r>
          </w:p>
        </w:tc>
      </w:tr>
    </w:tbl>
    <w:p>
      <w:pPr>
        <w:spacing w:after="80" w:line="276" w:lineRule="auto"/>
      </w:pPr>
    </w:p>
    <w:p>
      <w:pPr>
        <w:spacing w:before="200" w:after="80"/>
      </w:pPr>
      <w:r>
        <w:rPr>
          <w:rFonts w:ascii="ＭＳ ゴシック" w:hAnsi="ＭＳ ゴシック" w:eastAsia="ＭＳ ゴシック"/>
          <w:b/>
          <w:color w:val="2E75B6"/>
          <w:sz w:val="23"/>
        </w:rPr>
        <w:t>2　第1回指摘（R01〜R14）への対応</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c>
          <w:tcPr>
            <w:tcW w:type="dxa" w:w="680"/>
            <w:shd w:val="clear" w:fill="2E75B6"/>
          </w:tcPr>
          <w:p>
            <w:pPr>
              <w:spacing w:after="40"/>
              <w:jc w:val="center"/>
            </w:pPr>
            <w:r/>
            <w:r>
              <w:rPr>
                <w:rFonts w:ascii="ＭＳ ゴシック" w:hAnsi="ＭＳ ゴシック" w:eastAsia="ＭＳ ゴシック"/>
                <w:b/>
                <w:color w:val="FFFFFF"/>
                <w:sz w:val="16"/>
              </w:rPr>
              <w:t>No</w:t>
            </w:r>
          </w:p>
        </w:tc>
        <w:tc>
          <w:tcPr>
            <w:tcW w:type="dxa" w:w="3061"/>
            <w:shd w:val="clear" w:fill="2E75B6"/>
          </w:tcPr>
          <w:p>
            <w:pPr>
              <w:spacing w:after="40"/>
              <w:jc w:val="center"/>
            </w:pPr>
            <w:r/>
            <w:r>
              <w:rPr>
                <w:rFonts w:ascii="ＭＳ ゴシック" w:hAnsi="ＭＳ ゴシック" w:eastAsia="ＭＳ ゴシック"/>
                <w:b/>
                <w:color w:val="FFFFFF"/>
                <w:sz w:val="16"/>
              </w:rPr>
              <w:t>指摘の要点</w:t>
            </w:r>
          </w:p>
        </w:tc>
        <w:tc>
          <w:tcPr>
            <w:tcW w:type="dxa" w:w="6576"/>
            <w:shd w:val="clear" w:fill="2E75B6"/>
          </w:tcPr>
          <w:p>
            <w:pPr>
              <w:spacing w:after="40"/>
              <w:jc w:val="center"/>
            </w:pPr>
            <w:r/>
            <w:r>
              <w:rPr>
                <w:rFonts w:ascii="ＭＳ ゴシック" w:hAnsi="ＭＳ ゴシック" w:eastAsia="ＭＳ ゴシック"/>
                <w:b/>
                <w:color w:val="FFFFFF"/>
                <w:sz w:val="16"/>
              </w:rPr>
              <w:t>対応内容</w:t>
            </w:r>
          </w:p>
        </w:tc>
        <w:tc>
          <w:tcPr>
            <w:tcW w:type="dxa" w:w="1928"/>
            <w:shd w:val="clear" w:fill="2E75B6"/>
          </w:tcPr>
          <w:p>
            <w:pPr>
              <w:spacing w:after="40"/>
              <w:jc w:val="center"/>
            </w:pPr>
            <w:r/>
            <w:r>
              <w:rPr>
                <w:rFonts w:ascii="ＭＳ ゴシック" w:hAnsi="ＭＳ ゴシック" w:eastAsia="ＭＳ ゴシック"/>
                <w:b/>
                <w:color w:val="FFFFFF"/>
                <w:sz w:val="16"/>
              </w:rPr>
              <w:t>反映箇所</w:t>
            </w:r>
          </w:p>
        </w:tc>
        <w:tc>
          <w:tcPr>
            <w:tcW w:type="dxa" w:w="2778"/>
            <w:shd w:val="clear" w:fill="2E75B6"/>
          </w:tcPr>
          <w:p>
            <w:pPr>
              <w:spacing w:after="40"/>
              <w:jc w:val="center"/>
            </w:pPr>
            <w:r/>
            <w:r>
              <w:rPr>
                <w:rFonts w:ascii="ＭＳ ゴシック" w:hAnsi="ＭＳ ゴシック" w:eastAsia="ＭＳ ゴシック"/>
                <w:b/>
                <w:color w:val="FFFFFF"/>
                <w:sz w:val="16"/>
              </w:rPr>
              <w:t>残る課題</w:t>
            </w:r>
          </w:p>
        </w:tc>
      </w:tr>
      <w:tr>
        <w:tc>
          <w:tcPr>
            <w:tcW w:type="dxa" w:w="680"/>
          </w:tcPr>
          <w:p>
            <w:pPr>
              <w:spacing w:after="40"/>
              <w:jc w:val="center"/>
            </w:pPr>
            <w:r/>
            <w:r>
              <w:rPr>
                <w:rFonts w:ascii="ＭＳ 明朝" w:hAnsi="ＭＳ 明朝" w:eastAsia="ＭＳ 明朝"/>
                <w:b w:val="0"/>
                <w:sz w:val="16"/>
              </w:rPr>
              <w:t>R01</w:t>
            </w:r>
          </w:p>
        </w:tc>
        <w:tc>
          <w:tcPr>
            <w:tcW w:type="dxa" w:w="3061"/>
          </w:tcPr>
          <w:p>
            <w:pPr>
              <w:spacing w:after="40"/>
              <w:jc w:val="left"/>
            </w:pPr>
            <w:r/>
            <w:r>
              <w:rPr>
                <w:rFonts w:ascii="ＭＳ 明朝" w:hAnsi="ＭＳ 明朝" w:eastAsia="ＭＳ 明朝"/>
                <w:b w:val="0"/>
                <w:sz w:val="16"/>
              </w:rPr>
              <w:t>他会計補助金272,997千円の全額控除を裏付けられない</w:t>
            </w:r>
          </w:p>
        </w:tc>
        <w:tc>
          <w:tcPr>
            <w:tcW w:type="dxa" w:w="6576"/>
          </w:tcPr>
          <w:p>
            <w:pPr>
              <w:spacing w:after="40"/>
              <w:jc w:val="left"/>
            </w:pPr>
            <w:r/>
            <w:r>
              <w:rPr>
                <w:rFonts w:ascii="ＭＳ 明朝" w:hAnsi="ＭＳ 明朝" w:eastAsia="ＭＳ 明朝"/>
                <w:b w:val="0"/>
                <w:color w:val="375623"/>
                <w:sz w:val="16"/>
              </w:rPr>
              <w:t>◎ 反映。控除する前提は維持したうえで、「繰出基準の整理が成立する場合の試算」であることを明示。算式（人件費＋支払利息）と説明欄の不一致、二重控除の照合、条項別区分の未確認を記載し、控除の有無で必要改定率が約0.46倍動くことを感応度として掲載</w:t>
            </w:r>
          </w:p>
        </w:tc>
        <w:tc>
          <w:tcPr>
            <w:tcW w:type="dxa" w:w="1928"/>
          </w:tcPr>
          <w:p>
            <w:pPr>
              <w:spacing w:after="40"/>
              <w:jc w:val="left"/>
            </w:pPr>
            <w:r/>
            <w:r>
              <w:rPr>
                <w:rFonts w:ascii="ＭＳ 明朝" w:hAnsi="ＭＳ 明朝" w:eastAsia="ＭＳ 明朝"/>
                <w:b w:val="0"/>
                <w:sz w:val="16"/>
              </w:rPr>
              <w:t>5-3、4-3注記、5-9、12-1</w:t>
            </w:r>
          </w:p>
        </w:tc>
        <w:tc>
          <w:tcPr>
            <w:tcW w:type="dxa" w:w="2778"/>
          </w:tcPr>
          <w:p>
            <w:pPr>
              <w:spacing w:after="40"/>
              <w:jc w:val="left"/>
            </w:pPr>
            <w:r/>
            <w:r>
              <w:rPr>
                <w:rFonts w:ascii="ＭＳ 明朝" w:hAnsi="ＭＳ 明朝" w:eastAsia="ＭＳ 明朝"/>
                <w:b w:val="0"/>
                <w:sz w:val="16"/>
              </w:rPr>
              <w:t>繰出基準に基づく区分の町確認</w:t>
            </w:r>
          </w:p>
        </w:tc>
      </w:tr>
      <w:tr>
        <w:tc>
          <w:tcPr>
            <w:tcW w:type="dxa" w:w="680"/>
          </w:tcPr>
          <w:p>
            <w:pPr>
              <w:spacing w:after="40"/>
              <w:jc w:val="center"/>
            </w:pPr>
            <w:r/>
            <w:r>
              <w:rPr>
                <w:rFonts w:ascii="ＭＳ 明朝" w:hAnsi="ＭＳ 明朝" w:eastAsia="ＭＳ 明朝"/>
                <w:b w:val="0"/>
                <w:sz w:val="16"/>
              </w:rPr>
              <w:t>R02</w:t>
            </w:r>
          </w:p>
        </w:tc>
        <w:tc>
          <w:tcPr>
            <w:tcW w:type="dxa" w:w="3061"/>
          </w:tcPr>
          <w:p>
            <w:pPr>
              <w:spacing w:after="40"/>
              <w:jc w:val="left"/>
            </w:pPr>
            <w:r/>
            <w:r>
              <w:rPr>
                <w:rFonts w:ascii="ＭＳ 明朝" w:hAnsi="ＭＳ 明朝" w:eastAsia="ＭＳ 明朝"/>
                <w:b w:val="0"/>
                <w:sz w:val="16"/>
              </w:rPr>
              <w:t>減価償却費の差替えで既存資産分が41,318千円不足</w:t>
            </w:r>
          </w:p>
        </w:tc>
        <w:tc>
          <w:tcPr>
            <w:tcW w:type="dxa" w:w="6576"/>
          </w:tcPr>
          <w:p>
            <w:pPr>
              <w:spacing w:after="40"/>
              <w:jc w:val="left"/>
            </w:pPr>
            <w:r/>
            <w:r>
              <w:rPr>
                <w:rFonts w:ascii="ＭＳ 明朝" w:hAnsi="ＭＳ 明朝" w:eastAsia="ＭＳ 明朝"/>
                <w:b w:val="0"/>
                <w:color w:val="375623"/>
                <w:sz w:val="16"/>
              </w:rPr>
              <w:t>◎ 反映。既存資産分を財政シミュレーションの計上額（令和6年度末取得分1,822,881千円＋令和7年度取得分32,456千円）に直接接続し直し、総括原価以下の数値を全面的に更新</w:t>
            </w:r>
          </w:p>
        </w:tc>
        <w:tc>
          <w:tcPr>
            <w:tcW w:type="dxa" w:w="1928"/>
          </w:tcPr>
          <w:p>
            <w:pPr>
              <w:spacing w:after="40"/>
              <w:jc w:val="left"/>
            </w:pPr>
            <w:r/>
            <w:r>
              <w:rPr>
                <w:rFonts w:ascii="ＭＳ 明朝" w:hAnsi="ＭＳ 明朝" w:eastAsia="ＭＳ 明朝"/>
                <w:b w:val="0"/>
                <w:sz w:val="16"/>
              </w:rPr>
              <w:t>4-2、5-5、全章の数値</w:t>
            </w:r>
          </w:p>
        </w:tc>
        <w:tc>
          <w:tcPr>
            <w:tcW w:type="dxa" w:w="2778"/>
          </w:tcPr>
          <w:p>
            <w:pPr>
              <w:spacing w:after="40"/>
              <w:jc w:val="left"/>
            </w:pPr>
            <w:r/>
            <w:r>
              <w:rPr>
                <w:rFonts w:ascii="ＭＳ 明朝" w:hAnsi="ＭＳ 明朝" w:eastAsia="ＭＳ 明朝"/>
                <w:b w:val="0"/>
                <w:sz w:val="16"/>
              </w:rPr>
              <w:t>取得価額の税処理、新規分に対応する長期前受金戻入益、供用開始年度の再構築</w:t>
            </w:r>
          </w:p>
        </w:tc>
      </w:tr>
      <w:tr>
        <w:tc>
          <w:tcPr>
            <w:tcW w:type="dxa" w:w="680"/>
          </w:tcPr>
          <w:p>
            <w:pPr>
              <w:spacing w:after="40"/>
              <w:jc w:val="center"/>
            </w:pPr>
            <w:r/>
            <w:r>
              <w:rPr>
                <w:rFonts w:ascii="ＭＳ 明朝" w:hAnsi="ＭＳ 明朝" w:eastAsia="ＭＳ 明朝"/>
                <w:b w:val="0"/>
                <w:sz w:val="16"/>
              </w:rPr>
              <w:t>R03</w:t>
            </w:r>
          </w:p>
        </w:tc>
        <w:tc>
          <w:tcPr>
            <w:tcW w:type="dxa" w:w="3061"/>
          </w:tcPr>
          <w:p>
            <w:pPr>
              <w:spacing w:after="40"/>
              <w:jc w:val="left"/>
            </w:pPr>
            <w:r/>
            <w:r>
              <w:rPr>
                <w:rFonts w:ascii="ＭＳ 明朝" w:hAnsi="ＭＳ 明朝" w:eastAsia="ＭＳ 明朝"/>
                <w:b w:val="0"/>
                <w:sz w:val="16"/>
              </w:rPr>
              <w:t>資産維持費の対象資産896,312千円の母数と期間が未確定</w:t>
            </w:r>
          </w:p>
        </w:tc>
        <w:tc>
          <w:tcPr>
            <w:tcW w:type="dxa" w:w="6576"/>
          </w:tcPr>
          <w:p>
            <w:pPr>
              <w:spacing w:after="40"/>
              <w:jc w:val="left"/>
            </w:pPr>
            <w:r/>
            <w:r>
              <w:rPr>
                <w:rFonts w:ascii="ＭＳ 明朝" w:hAnsi="ＭＳ 明朝" w:eastAsia="ＭＳ 明朝"/>
                <w:b w:val="0"/>
                <w:color w:val="375623"/>
                <w:sz w:val="16"/>
              </w:rPr>
              <w:t>◎ 反映。対象資産の出所が平成31年度末の残高であること、期末残高が直接入力の推計値であること、対象期間の期末日が1年ずれていることを明示。対象資産±100,000千円で必要改定率±0.025倍を掲載</w:t>
            </w:r>
          </w:p>
        </w:tc>
        <w:tc>
          <w:tcPr>
            <w:tcW w:type="dxa" w:w="1928"/>
          </w:tcPr>
          <w:p>
            <w:pPr>
              <w:spacing w:after="40"/>
              <w:jc w:val="left"/>
            </w:pPr>
            <w:r/>
            <w:r>
              <w:rPr>
                <w:rFonts w:ascii="ＭＳ 明朝" w:hAnsi="ＭＳ 明朝" w:eastAsia="ＭＳ 明朝"/>
                <w:b w:val="0"/>
                <w:sz w:val="16"/>
              </w:rPr>
              <w:t>5-4、4-1注記、5-9</w:t>
            </w:r>
          </w:p>
        </w:tc>
        <w:tc>
          <w:tcPr>
            <w:tcW w:type="dxa" w:w="2778"/>
          </w:tcPr>
          <w:p>
            <w:pPr>
              <w:spacing w:after="40"/>
              <w:jc w:val="left"/>
            </w:pPr>
            <w:r/>
            <w:r>
              <w:rPr>
                <w:rFonts w:ascii="ＭＳ 明朝" w:hAnsi="ＭＳ 明朝" w:eastAsia="ＭＳ 明朝"/>
                <w:b w:val="0"/>
                <w:sz w:val="16"/>
              </w:rPr>
              <w:t>固定資産台帳による再構築</w:t>
            </w:r>
          </w:p>
        </w:tc>
      </w:tr>
      <w:tr>
        <w:tc>
          <w:tcPr>
            <w:tcW w:type="dxa" w:w="680"/>
          </w:tcPr>
          <w:p>
            <w:pPr>
              <w:spacing w:after="40"/>
              <w:jc w:val="center"/>
            </w:pPr>
            <w:r/>
            <w:r>
              <w:rPr>
                <w:rFonts w:ascii="ＭＳ 明朝" w:hAnsi="ＭＳ 明朝" w:eastAsia="ＭＳ 明朝"/>
                <w:b w:val="0"/>
                <w:sz w:val="16"/>
              </w:rPr>
              <w:t>R04</w:t>
            </w:r>
          </w:p>
        </w:tc>
        <w:tc>
          <w:tcPr>
            <w:tcW w:type="dxa" w:w="3061"/>
          </w:tcPr>
          <w:p>
            <w:pPr>
              <w:spacing w:after="40"/>
              <w:jc w:val="left"/>
            </w:pPr>
            <w:r/>
            <w:r>
              <w:rPr>
                <w:rFonts w:ascii="ＭＳ 明朝" w:hAnsi="ＭＳ 明朝" w:eastAsia="ＭＳ 明朝"/>
                <w:b w:val="0"/>
                <w:sz w:val="16"/>
              </w:rPr>
              <w:t>19社モデルは実績に基づく財政効果として使えない</w:t>
            </w:r>
          </w:p>
        </w:tc>
        <w:tc>
          <w:tcPr>
            <w:tcW w:type="dxa" w:w="6576"/>
          </w:tcPr>
          <w:p>
            <w:pPr>
              <w:spacing w:after="40"/>
              <w:jc w:val="left"/>
            </w:pPr>
            <w:r/>
            <w:r>
              <w:rPr>
                <w:rFonts w:ascii="ＭＳ 明朝" w:hAnsi="ＭＳ 明朝" w:eastAsia="ＭＳ 明朝"/>
                <w:b w:val="0"/>
                <w:color w:val="375623"/>
                <w:sz w:val="16"/>
              </w:rPr>
              <w:t>◎ 反映。19社の数値を「仮定した条件の下での個別事例」に限定し、合計額・減収額・3-Bの収入と回収割合の掲載を取りやめ。100mmで口径全体実績の約5.71倍、75mmで全体超過という不整合を明示</w:t>
            </w:r>
          </w:p>
        </w:tc>
        <w:tc>
          <w:tcPr>
            <w:tcW w:type="dxa" w:w="1928"/>
          </w:tcPr>
          <w:p>
            <w:pPr>
              <w:spacing w:after="40"/>
              <w:jc w:val="left"/>
            </w:pPr>
            <w:r/>
            <w:r>
              <w:rPr>
                <w:rFonts w:ascii="ＭＳ 明朝" w:hAnsi="ＭＳ 明朝" w:eastAsia="ＭＳ 明朝"/>
                <w:b w:val="0"/>
                <w:sz w:val="16"/>
              </w:rPr>
              <w:t>5-7、8-3、9-3、9-5、10-1</w:t>
            </w:r>
          </w:p>
        </w:tc>
        <w:tc>
          <w:tcPr>
            <w:tcW w:type="dxa" w:w="2778"/>
          </w:tcPr>
          <w:p>
            <w:pPr>
              <w:spacing w:after="40"/>
              <w:jc w:val="left"/>
            </w:pPr>
            <w:r/>
            <w:r>
              <w:rPr>
                <w:rFonts w:ascii="ＭＳ 明朝" w:hAnsi="ＭＳ 明朝" w:eastAsia="ＭＳ 明朝"/>
                <w:b w:val="0"/>
                <w:sz w:val="16"/>
              </w:rPr>
              <w:t>使用者別調定明細による再計算</w:t>
            </w:r>
          </w:p>
        </w:tc>
      </w:tr>
      <w:tr>
        <w:tc>
          <w:tcPr>
            <w:tcW w:type="dxa" w:w="680"/>
          </w:tcPr>
          <w:p>
            <w:pPr>
              <w:spacing w:after="40"/>
              <w:jc w:val="center"/>
            </w:pPr>
            <w:r/>
            <w:r>
              <w:rPr>
                <w:rFonts w:ascii="ＭＳ 明朝" w:hAnsi="ＭＳ 明朝" w:eastAsia="ＭＳ 明朝"/>
                <w:b w:val="0"/>
                <w:sz w:val="16"/>
              </w:rPr>
              <w:t>R05</w:t>
            </w:r>
          </w:p>
        </w:tc>
        <w:tc>
          <w:tcPr>
            <w:tcW w:type="dxa" w:w="3061"/>
          </w:tcPr>
          <w:p>
            <w:pPr>
              <w:spacing w:after="40"/>
              <w:jc w:val="left"/>
            </w:pPr>
            <w:r/>
            <w:r>
              <w:rPr>
                <w:rFonts w:ascii="ＭＳ 明朝" w:hAnsi="ＭＳ 明朝" w:eastAsia="ＭＳ 明朝"/>
                <w:b w:val="0"/>
                <w:sz w:val="16"/>
              </w:rPr>
              <w:t>税込・税抜の混在が財政効果を変える</w:t>
            </w:r>
          </w:p>
        </w:tc>
        <w:tc>
          <w:tcPr>
            <w:tcW w:type="dxa" w:w="6576"/>
          </w:tcPr>
          <w:p>
            <w:pPr>
              <w:spacing w:after="40"/>
              <w:jc w:val="left"/>
            </w:pPr>
            <w:r/>
            <w:r>
              <w:rPr>
                <w:rFonts w:ascii="ＭＳ 明朝" w:hAnsi="ＭＳ 明朝" w:eastAsia="ＭＳ 明朝"/>
                <w:b w:val="0"/>
                <w:color w:val="375623"/>
                <w:sz w:val="16"/>
              </w:rPr>
              <w:t>◎ 反映。料金表・利用者影響は税込、収支・総括原価は税抜と整理し、橋渡し表を新設。令和7年度の税抜単価116.6円/㎥を明示し、128.2円/㎥が税込調定単価であることを注記</w:t>
            </w:r>
          </w:p>
        </w:tc>
        <w:tc>
          <w:tcPr>
            <w:tcW w:type="dxa" w:w="1928"/>
          </w:tcPr>
          <w:p>
            <w:pPr>
              <w:spacing w:after="40"/>
              <w:jc w:val="left"/>
            </w:pPr>
            <w:r/>
            <w:r>
              <w:rPr>
                <w:rFonts w:ascii="ＭＳ 明朝" w:hAnsi="ＭＳ 明朝" w:eastAsia="ＭＳ 明朝"/>
                <w:b w:val="0"/>
                <w:sz w:val="16"/>
              </w:rPr>
              <w:t>5-2、4-3注記、各表の注記</w:t>
            </w:r>
          </w:p>
        </w:tc>
        <w:tc>
          <w:tcPr>
            <w:tcW w:type="dxa" w:w="2778"/>
          </w:tcPr>
          <w:p>
            <w:pPr>
              <w:spacing w:after="40"/>
              <w:jc w:val="left"/>
            </w:pPr>
            <w:r/>
            <w:r>
              <w:rPr>
                <w:rFonts w:ascii="ＭＳ 明朝" w:hAnsi="ＭＳ 明朝" w:eastAsia="ＭＳ 明朝"/>
                <w:b w:val="0"/>
                <w:sz w:val="16"/>
              </w:rPr>
              <w:t>決算給水収益との期間帰属・調定取消の調整</w:t>
            </w:r>
          </w:p>
        </w:tc>
      </w:tr>
      <w:tr>
        <w:tc>
          <w:tcPr>
            <w:tcW w:type="dxa" w:w="680"/>
          </w:tcPr>
          <w:p>
            <w:pPr>
              <w:spacing w:after="40"/>
              <w:jc w:val="center"/>
            </w:pPr>
            <w:r/>
            <w:r>
              <w:rPr>
                <w:rFonts w:ascii="ＭＳ 明朝" w:hAnsi="ＭＳ 明朝" w:eastAsia="ＭＳ 明朝"/>
                <w:b w:val="0"/>
                <w:sz w:val="16"/>
              </w:rPr>
              <w:t>R06</w:t>
            </w:r>
          </w:p>
        </w:tc>
        <w:tc>
          <w:tcPr>
            <w:tcW w:type="dxa" w:w="3061"/>
          </w:tcPr>
          <w:p>
            <w:pPr>
              <w:spacing w:after="40"/>
              <w:jc w:val="left"/>
            </w:pPr>
            <w:r/>
            <w:r>
              <w:rPr>
                <w:rFonts w:ascii="ＭＳ 明朝" w:hAnsi="ＭＳ 明朝" w:eastAsia="ＭＳ 明朝"/>
                <w:b w:val="0"/>
                <w:sz w:val="16"/>
              </w:rPr>
              <w:t>口径別料金案の原価回収が実データで未検証</w:t>
            </w:r>
          </w:p>
        </w:tc>
        <w:tc>
          <w:tcPr>
            <w:tcW w:type="dxa" w:w="6576"/>
          </w:tcPr>
          <w:p>
            <w:pPr>
              <w:spacing w:after="40"/>
              <w:jc w:val="left"/>
            </w:pPr>
            <w:r/>
            <w:r>
              <w:rPr>
                <w:rFonts w:ascii="ＭＳ 明朝" w:hAnsi="ＭＳ 明朝" w:eastAsia="ＭＳ 明朝"/>
                <w:b w:val="0"/>
                <w:color w:val="375623"/>
                <w:sz w:val="16"/>
              </w:rPr>
              <w:t>◎ 反映。代表口径1つを割り当てた試算であること、件数がサンプル集計であり全口径データと一致しないこと、100％回収は試算の係数を目標に合わせて解いた結果であることを明示。実データによる参考値（約2.10倍）も併記</w:t>
            </w:r>
          </w:p>
        </w:tc>
        <w:tc>
          <w:tcPr>
            <w:tcW w:type="dxa" w:w="1928"/>
          </w:tcPr>
          <w:p>
            <w:pPr>
              <w:spacing w:after="40"/>
              <w:jc w:val="left"/>
            </w:pPr>
            <w:r/>
            <w:r>
              <w:rPr>
                <w:rFonts w:ascii="ＭＳ 明朝" w:hAnsi="ＭＳ 明朝" w:eastAsia="ＭＳ 明朝"/>
                <w:b w:val="0"/>
                <w:sz w:val="16"/>
              </w:rPr>
              <w:t>5-6、8-1、8-2、9-5注記</w:t>
            </w:r>
          </w:p>
        </w:tc>
        <w:tc>
          <w:tcPr>
            <w:tcW w:type="dxa" w:w="2778"/>
          </w:tcPr>
          <w:p>
            <w:pPr>
              <w:spacing w:after="40"/>
              <w:jc w:val="left"/>
            </w:pPr>
            <w:r/>
            <w:r>
              <w:rPr>
                <w:rFonts w:ascii="ＭＳ 明朝" w:hAnsi="ＭＳ 明朝" w:eastAsia="ＭＳ 明朝"/>
                <w:b w:val="0"/>
                <w:sz w:val="16"/>
              </w:rPr>
              <w:t>調定明細による検証</w:t>
            </w:r>
          </w:p>
        </w:tc>
      </w:tr>
      <w:tr>
        <w:tc>
          <w:tcPr>
            <w:tcW w:type="dxa" w:w="680"/>
          </w:tcPr>
          <w:p>
            <w:pPr>
              <w:spacing w:after="40"/>
              <w:jc w:val="center"/>
            </w:pPr>
            <w:r/>
            <w:r>
              <w:rPr>
                <w:rFonts w:ascii="ＭＳ 明朝" w:hAnsi="ＭＳ 明朝" w:eastAsia="ＭＳ 明朝"/>
                <w:b w:val="0"/>
                <w:sz w:val="16"/>
              </w:rPr>
              <w:t>R07</w:t>
            </w:r>
          </w:p>
        </w:tc>
        <w:tc>
          <w:tcPr>
            <w:tcW w:type="dxa" w:w="3061"/>
          </w:tcPr>
          <w:p>
            <w:pPr>
              <w:spacing w:after="40"/>
              <w:jc w:val="left"/>
            </w:pPr>
            <w:r/>
            <w:r>
              <w:rPr>
                <w:rFonts w:ascii="ＭＳ 明朝" w:hAnsi="ＭＳ 明朝" w:eastAsia="ＭＳ 明朝"/>
                <w:b w:val="0"/>
                <w:sz w:val="16"/>
              </w:rPr>
              <w:t>「赤字半減」の定義が資金収支と異なる</w:t>
            </w:r>
          </w:p>
        </w:tc>
        <w:tc>
          <w:tcPr>
            <w:tcW w:type="dxa" w:w="6576"/>
          </w:tcPr>
          <w:p>
            <w:pPr>
              <w:spacing w:after="40"/>
              <w:jc w:val="left"/>
            </w:pPr>
            <w:r/>
            <w:r>
              <w:rPr>
                <w:rFonts w:ascii="ＭＳ 明朝" w:hAnsi="ＭＳ 明朝" w:eastAsia="ＭＳ 明朝"/>
                <w:b w:val="0"/>
                <w:color w:val="375623"/>
                <w:sz w:val="16"/>
              </w:rPr>
              <w:t>◎ 反映。定義③を「料金不足額」と改称し、資産維持費が現金支出でないこと、元金償還・建設改良費・期首資金を含まないことを明示。1.124772倍の丸めである旨、営業損失・経常損失を財政シミュレーションの対応額で再計算（▲400,051千円、▲49,846千円）</w:t>
            </w:r>
          </w:p>
        </w:tc>
        <w:tc>
          <w:tcPr>
            <w:tcW w:type="dxa" w:w="1928"/>
          </w:tcPr>
          <w:p>
            <w:pPr>
              <w:spacing w:after="40"/>
              <w:jc w:val="left"/>
            </w:pPr>
            <w:r/>
            <w:r>
              <w:rPr>
                <w:rFonts w:ascii="ＭＳ 明朝" w:hAnsi="ＭＳ 明朝" w:eastAsia="ＭＳ 明朝"/>
                <w:b w:val="0"/>
                <w:sz w:val="16"/>
              </w:rPr>
              <w:t>7-1、7-2、5-8</w:t>
            </w:r>
          </w:p>
        </w:tc>
        <w:tc>
          <w:tcPr>
            <w:tcW w:type="dxa" w:w="2778"/>
          </w:tcPr>
          <w:p>
            <w:pPr>
              <w:spacing w:after="40"/>
              <w:jc w:val="left"/>
            </w:pPr>
            <w:r/>
            <w:r>
              <w:rPr>
                <w:rFonts w:ascii="ＭＳ 明朝" w:hAnsi="ＭＳ 明朝" w:eastAsia="ＭＳ 明朝"/>
                <w:b w:val="0"/>
                <w:sz w:val="16"/>
              </w:rPr>
              <w:t>仕様書がいう「現状赤字額」の定義の確認</w:t>
            </w:r>
          </w:p>
        </w:tc>
      </w:tr>
      <w:tr>
        <w:tc>
          <w:tcPr>
            <w:tcW w:type="dxa" w:w="680"/>
          </w:tcPr>
          <w:p>
            <w:pPr>
              <w:spacing w:after="40"/>
              <w:jc w:val="center"/>
            </w:pPr>
            <w:r/>
            <w:r>
              <w:rPr>
                <w:rFonts w:ascii="ＭＳ 明朝" w:hAnsi="ＭＳ 明朝" w:eastAsia="ＭＳ 明朝"/>
                <w:b w:val="0"/>
                <w:sz w:val="16"/>
              </w:rPr>
              <w:t>R08</w:t>
            </w:r>
          </w:p>
        </w:tc>
        <w:tc>
          <w:tcPr>
            <w:tcW w:type="dxa" w:w="3061"/>
          </w:tcPr>
          <w:p>
            <w:pPr>
              <w:spacing w:after="40"/>
              <w:jc w:val="left"/>
            </w:pPr>
            <w:r/>
            <w:r>
              <w:rPr>
                <w:rFonts w:ascii="ＭＳ 明朝" w:hAnsi="ＭＳ 明朝" w:eastAsia="ＭＳ 明朝"/>
                <w:b w:val="0"/>
                <w:sz w:val="16"/>
              </w:rPr>
              <w:t>産業特例に料金の逆転がある</w:t>
            </w:r>
          </w:p>
        </w:tc>
        <w:tc>
          <w:tcPr>
            <w:tcW w:type="dxa" w:w="6576"/>
          </w:tcPr>
          <w:p>
            <w:pPr>
              <w:spacing w:after="40"/>
              <w:jc w:val="left"/>
            </w:pPr>
            <w:r/>
            <w:r>
              <w:rPr>
                <w:rFonts w:ascii="ＭＳ 明朝" w:hAnsi="ＭＳ 明朝" w:eastAsia="ＭＳ 明朝"/>
                <w:b w:val="0"/>
                <w:color w:val="375623"/>
                <w:sz w:val="16"/>
              </w:rPr>
              <w:t>◎ 反映。25mm・50mmの499㎥／500㎥の比較表を追加し、約6割下がることを明示。超過部分への適用、料金上限方式、減免率方式、年間認定の4方式を比較対象として提示。塩竈市の制度が特定協同組合への供給区分であり要件の先例ではないこと、115円が独自に丸めた設定値であることを明記</w:t>
            </w:r>
          </w:p>
        </w:tc>
        <w:tc>
          <w:tcPr>
            <w:tcW w:type="dxa" w:w="1928"/>
          </w:tcPr>
          <w:p>
            <w:pPr>
              <w:spacing w:after="40"/>
              <w:jc w:val="left"/>
            </w:pPr>
            <w:r/>
            <w:r>
              <w:rPr>
                <w:rFonts w:ascii="ＭＳ 明朝" w:hAnsi="ＭＳ 明朝" w:eastAsia="ＭＳ 明朝"/>
                <w:b w:val="0"/>
                <w:sz w:val="16"/>
              </w:rPr>
              <w:t>8-3（1）、10-3</w:t>
            </w:r>
          </w:p>
        </w:tc>
        <w:tc>
          <w:tcPr>
            <w:tcW w:type="dxa" w:w="2778"/>
          </w:tcPr>
          <w:p>
            <w:pPr>
              <w:spacing w:after="40"/>
              <w:jc w:val="left"/>
            </w:pPr>
            <w:r/>
            <w:r>
              <w:rPr>
                <w:rFonts w:ascii="ＭＳ 明朝" w:hAnsi="ＭＳ 明朝" w:eastAsia="ＭＳ 明朝"/>
                <w:b w:val="0"/>
                <w:sz w:val="16"/>
              </w:rPr>
              <w:t>採用方式の決定と再試算</w:t>
            </w:r>
          </w:p>
        </w:tc>
      </w:tr>
      <w:tr>
        <w:tc>
          <w:tcPr>
            <w:tcW w:type="dxa" w:w="680"/>
          </w:tcPr>
          <w:p>
            <w:pPr>
              <w:spacing w:after="40"/>
              <w:jc w:val="center"/>
            </w:pPr>
            <w:r/>
            <w:r>
              <w:rPr>
                <w:rFonts w:ascii="ＭＳ 明朝" w:hAnsi="ＭＳ 明朝" w:eastAsia="ＭＳ 明朝"/>
                <w:b w:val="0"/>
                <w:sz w:val="16"/>
              </w:rPr>
              <w:t>R09</w:t>
            </w:r>
          </w:p>
        </w:tc>
        <w:tc>
          <w:tcPr>
            <w:tcW w:type="dxa" w:w="3061"/>
          </w:tcPr>
          <w:p>
            <w:pPr>
              <w:spacing w:after="40"/>
              <w:jc w:val="left"/>
            </w:pPr>
            <w:r/>
            <w:r>
              <w:rPr>
                <w:rFonts w:ascii="ＭＳ 明朝" w:hAnsi="ＭＳ 明朝" w:eastAsia="ＭＳ 明朝"/>
                <w:b w:val="0"/>
                <w:sz w:val="16"/>
              </w:rPr>
              <w:t>利用者影響の説明が料金表と矛盾する</w:t>
            </w:r>
          </w:p>
        </w:tc>
        <w:tc>
          <w:tcPr>
            <w:tcW w:type="dxa" w:w="6576"/>
          </w:tcPr>
          <w:p>
            <w:pPr>
              <w:spacing w:after="40"/>
              <w:jc w:val="left"/>
            </w:pPr>
            <w:r/>
            <w:r>
              <w:rPr>
                <w:rFonts w:ascii="ＭＳ 明朝" w:hAnsi="ＭＳ 明朝" w:eastAsia="ＭＳ 明朝"/>
                <w:b w:val="0"/>
                <w:color w:val="375623"/>
                <w:sz w:val="16"/>
              </w:rPr>
              <w:t>◎ 反映。「10㎥以下は下がる」の記載を削除し、13mmで月3.3㎥付近が分岐点であること、月6〜10㎥は1,265円→1,465円に上がることを明示。口径×使用水量の倍率表を新設。特殊用途の比較表にメーター使用料の扱いを注記し、船舶用（委託）が未試算であることを明示。住民説明章でも標準料金表と特例適用後を分離</w:t>
            </w:r>
          </w:p>
        </w:tc>
        <w:tc>
          <w:tcPr>
            <w:tcW w:type="dxa" w:w="1928"/>
          </w:tcPr>
          <w:p>
            <w:pPr>
              <w:spacing w:after="40"/>
              <w:jc w:val="left"/>
            </w:pPr>
            <w:r/>
            <w:r>
              <w:rPr>
                <w:rFonts w:ascii="ＭＳ 明朝" w:hAnsi="ＭＳ 明朝" w:eastAsia="ＭＳ 明朝"/>
                <w:b w:val="0"/>
                <w:sz w:val="16"/>
              </w:rPr>
              <w:t>8-2（3）（4）、9-1、9-4、9-6、11章</w:t>
            </w:r>
          </w:p>
        </w:tc>
        <w:tc>
          <w:tcPr>
            <w:tcW w:type="dxa" w:w="2778"/>
          </w:tcPr>
          <w:p>
            <w:pPr>
              <w:spacing w:after="40"/>
              <w:jc w:val="left"/>
            </w:pPr>
            <w:r/>
            <w:r>
              <w:rPr>
                <w:rFonts w:ascii="ＭＳ 明朝" w:hAnsi="ＭＳ 明朝" w:eastAsia="ＭＳ 明朝"/>
                <w:b w:val="0"/>
                <w:sz w:val="16"/>
              </w:rPr>
              <w:t>値上げ・値下げ件数、増額帯別件数の集計</w:t>
            </w:r>
          </w:p>
        </w:tc>
      </w:tr>
      <w:tr>
        <w:tc>
          <w:tcPr>
            <w:tcW w:type="dxa" w:w="680"/>
          </w:tcPr>
          <w:p>
            <w:pPr>
              <w:spacing w:after="40"/>
              <w:jc w:val="center"/>
            </w:pPr>
            <w:r/>
            <w:r>
              <w:rPr>
                <w:rFonts w:ascii="ＭＳ 明朝" w:hAnsi="ＭＳ 明朝" w:eastAsia="ＭＳ 明朝"/>
                <w:b w:val="0"/>
                <w:sz w:val="16"/>
              </w:rPr>
              <w:t>R10</w:t>
            </w:r>
          </w:p>
        </w:tc>
        <w:tc>
          <w:tcPr>
            <w:tcW w:type="dxa" w:w="3061"/>
          </w:tcPr>
          <w:p>
            <w:pPr>
              <w:spacing w:after="40"/>
              <w:jc w:val="left"/>
            </w:pPr>
            <w:r/>
            <w:r>
              <w:rPr>
                <w:rFonts w:ascii="ＭＳ 明朝" w:hAnsi="ＭＳ 明朝" w:eastAsia="ＭＳ 明朝"/>
                <w:b w:val="0"/>
                <w:sz w:val="16"/>
              </w:rPr>
              <w:t>需要予測と実施時期が接続していない</w:t>
            </w:r>
          </w:p>
        </w:tc>
        <w:tc>
          <w:tcPr>
            <w:tcW w:type="dxa" w:w="6576"/>
          </w:tcPr>
          <w:p>
            <w:pPr>
              <w:spacing w:after="40"/>
              <w:jc w:val="left"/>
            </w:pPr>
            <w:r/>
            <w:r>
              <w:rPr>
                <w:rFonts w:ascii="ＭＳ 明朝" w:hAnsi="ＭＳ 明朝" w:eastAsia="ＭＳ 明朝"/>
                <w:b w:val="0"/>
                <w:color w:val="375623"/>
                <w:sz w:val="16"/>
              </w:rPr>
              <w:t>◎ 反映。令和7年度実績1,024,576㎥から令和8年度推計901千㎥への約12％の段差が未説明であること、需要予測が大口需要を区分していないことを明示。初年度の適用月数・期首資金・元金償還を含む年次資金収支を最終報告の作業として掲載</w:t>
            </w:r>
          </w:p>
        </w:tc>
        <w:tc>
          <w:tcPr>
            <w:tcW w:type="dxa" w:w="1928"/>
          </w:tcPr>
          <w:p>
            <w:pPr>
              <w:spacing w:after="40"/>
              <w:jc w:val="left"/>
            </w:pPr>
            <w:r/>
            <w:r>
              <w:rPr>
                <w:rFonts w:ascii="ＭＳ 明朝" w:hAnsi="ＭＳ 明朝" w:eastAsia="ＭＳ 明朝"/>
                <w:b w:val="0"/>
                <w:sz w:val="16"/>
              </w:rPr>
              <w:t>3-2（4）、10-4</w:t>
            </w:r>
          </w:p>
        </w:tc>
        <w:tc>
          <w:tcPr>
            <w:tcW w:type="dxa" w:w="2778"/>
          </w:tcPr>
          <w:p>
            <w:pPr>
              <w:spacing w:after="40"/>
              <w:jc w:val="left"/>
            </w:pPr>
            <w:r/>
            <w:r>
              <w:rPr>
                <w:rFonts w:ascii="ＭＳ 明朝" w:hAnsi="ＭＳ 明朝" w:eastAsia="ＭＳ 明朝"/>
                <w:b w:val="0"/>
                <w:sz w:val="16"/>
              </w:rPr>
              <w:t>年次資金収支の作成と感応度分析</w:t>
            </w:r>
          </w:p>
        </w:tc>
      </w:tr>
      <w:tr>
        <w:tc>
          <w:tcPr>
            <w:tcW w:type="dxa" w:w="680"/>
          </w:tcPr>
          <w:p>
            <w:pPr>
              <w:spacing w:after="40"/>
              <w:jc w:val="center"/>
            </w:pPr>
            <w:r/>
            <w:r>
              <w:rPr>
                <w:rFonts w:ascii="ＭＳ 明朝" w:hAnsi="ＭＳ 明朝" w:eastAsia="ＭＳ 明朝"/>
                <w:b w:val="0"/>
                <w:sz w:val="16"/>
              </w:rPr>
              <w:t>R11</w:t>
            </w:r>
          </w:p>
        </w:tc>
        <w:tc>
          <w:tcPr>
            <w:tcW w:type="dxa" w:w="3061"/>
          </w:tcPr>
          <w:p>
            <w:pPr>
              <w:spacing w:after="40"/>
              <w:jc w:val="left"/>
            </w:pPr>
            <w:r/>
            <w:r>
              <w:rPr>
                <w:rFonts w:ascii="ＭＳ 明朝" w:hAnsi="ＭＳ 明朝" w:eastAsia="ＭＳ 明朝"/>
                <w:b w:val="0"/>
                <w:sz w:val="16"/>
              </w:rPr>
              <w:t>料金回収率という用語の分母が異なる</w:t>
            </w:r>
          </w:p>
        </w:tc>
        <w:tc>
          <w:tcPr>
            <w:tcW w:type="dxa" w:w="6576"/>
          </w:tcPr>
          <w:p>
            <w:pPr>
              <w:spacing w:after="40"/>
              <w:jc w:val="left"/>
            </w:pPr>
            <w:r/>
            <w:r>
              <w:rPr>
                <w:rFonts w:ascii="ＭＳ 明朝" w:hAnsi="ＭＳ 明朝" w:eastAsia="ＭＳ 明朝"/>
                <w:b w:val="0"/>
                <w:color w:val="375623"/>
                <w:sz w:val="16"/>
              </w:rPr>
              <w:t>◎ 反映。第4章以降の指標名を「総括原価回収割合」に変更し、第3章の決算指標と分母が異なることを用語定義表で明示。住民説明章の「町の一般会計で補っている」の表現も改めた</w:t>
            </w:r>
          </w:p>
        </w:tc>
        <w:tc>
          <w:tcPr>
            <w:tcW w:type="dxa" w:w="1928"/>
          </w:tcPr>
          <w:p>
            <w:pPr>
              <w:spacing w:after="40"/>
              <w:jc w:val="left"/>
            </w:pPr>
            <w:r/>
            <w:r>
              <w:rPr>
                <w:rFonts w:ascii="ＭＳ 明朝" w:hAnsi="ＭＳ 明朝" w:eastAsia="ＭＳ 明朝"/>
                <w:b w:val="0"/>
                <w:sz w:val="16"/>
              </w:rPr>
              <w:t>4-3、5-8、3-1、11章</w:t>
            </w:r>
          </w:p>
        </w:tc>
        <w:tc>
          <w:tcPr>
            <w:tcW w:type="dxa" w:w="2778"/>
          </w:tcPr>
          <w:p>
            <w:pPr>
              <w:spacing w:after="40"/>
              <w:jc w:val="left"/>
            </w:pPr>
            <w:r/>
            <w:r>
              <w:rPr>
                <w:rFonts w:ascii="ＭＳ 明朝" w:hAnsi="ＭＳ 明朝" w:eastAsia="ＭＳ 明朝"/>
                <w:b w:val="0"/>
                <w:sz w:val="16"/>
              </w:rPr>
              <w:t>―</w:t>
            </w:r>
          </w:p>
        </w:tc>
      </w:tr>
      <w:tr>
        <w:tc>
          <w:tcPr>
            <w:tcW w:type="dxa" w:w="680"/>
          </w:tcPr>
          <w:p>
            <w:pPr>
              <w:spacing w:after="40"/>
              <w:jc w:val="center"/>
            </w:pPr>
            <w:r/>
            <w:r>
              <w:rPr>
                <w:rFonts w:ascii="ＭＳ 明朝" w:hAnsi="ＭＳ 明朝" w:eastAsia="ＭＳ 明朝"/>
                <w:b w:val="0"/>
                <w:sz w:val="16"/>
              </w:rPr>
              <w:t>R12</w:t>
            </w:r>
          </w:p>
        </w:tc>
        <w:tc>
          <w:tcPr>
            <w:tcW w:type="dxa" w:w="3061"/>
          </w:tcPr>
          <w:p>
            <w:pPr>
              <w:spacing w:after="40"/>
              <w:jc w:val="left"/>
            </w:pPr>
            <w:r/>
            <w:r>
              <w:rPr>
                <w:rFonts w:ascii="ＭＳ 明朝" w:hAnsi="ＭＳ 明朝" w:eastAsia="ＭＳ 明朝"/>
                <w:b w:val="0"/>
                <w:sz w:val="16"/>
              </w:rPr>
              <w:t>制度・比較・地域背景の説明に修正を要する</w:t>
            </w:r>
          </w:p>
        </w:tc>
        <w:tc>
          <w:tcPr>
            <w:tcW w:type="dxa" w:w="6576"/>
          </w:tcPr>
          <w:p>
            <w:pPr>
              <w:spacing w:after="40"/>
              <w:jc w:val="left"/>
            </w:pPr>
            <w:r/>
            <w:r>
              <w:rPr>
                <w:rFonts w:ascii="ＭＳ 明朝" w:hAnsi="ＭＳ 明朝" w:eastAsia="ＭＳ 明朝"/>
                <w:b w:val="0"/>
                <w:color w:val="375623"/>
                <w:sz w:val="16"/>
              </w:rPr>
              <w:t>◎ 反映。①3％を「算定要領の標準値」と改め、②算定期間の根拠条項を明示、③「県内では女川町のみ」を削除し気仙沼市の逓減を併記、④仕様書適合の最終判定を保留、⑤出島大橋開通（令和6年12月19日）を反映し江島と分離、⑥原発需要・全国の主流・受容性の断定を判断・仮説の表現に修正</w:t>
            </w:r>
          </w:p>
        </w:tc>
        <w:tc>
          <w:tcPr>
            <w:tcW w:type="dxa" w:w="1928"/>
          </w:tcPr>
          <w:p>
            <w:pPr>
              <w:spacing w:after="40"/>
              <w:jc w:val="left"/>
            </w:pPr>
            <w:r/>
            <w:r>
              <w:rPr>
                <w:rFonts w:ascii="ＭＳ 明朝" w:hAnsi="ＭＳ 明朝" w:eastAsia="ＭＳ 明朝"/>
                <w:b w:val="0"/>
                <w:sz w:val="16"/>
              </w:rPr>
              <w:t>1-1、2-2、2-3、4-1、11章</w:t>
            </w:r>
          </w:p>
        </w:tc>
        <w:tc>
          <w:tcPr>
            <w:tcW w:type="dxa" w:w="2778"/>
          </w:tcPr>
          <w:p>
            <w:pPr>
              <w:spacing w:after="40"/>
              <w:jc w:val="left"/>
            </w:pPr>
            <w:r/>
            <w:r>
              <w:rPr>
                <w:rFonts w:ascii="ＭＳ 明朝" w:hAnsi="ＭＳ 明朝" w:eastAsia="ＭＳ 明朝"/>
                <w:b w:val="0"/>
                <w:sz w:val="16"/>
              </w:rPr>
              <w:t>仕様書原本の確認、送水切替の状況確認</w:t>
            </w:r>
          </w:p>
        </w:tc>
      </w:tr>
      <w:tr>
        <w:tc>
          <w:tcPr>
            <w:tcW w:type="dxa" w:w="680"/>
          </w:tcPr>
          <w:p>
            <w:pPr>
              <w:spacing w:after="40"/>
              <w:jc w:val="center"/>
            </w:pPr>
            <w:r/>
            <w:r>
              <w:rPr>
                <w:rFonts w:ascii="ＭＳ 明朝" w:hAnsi="ＭＳ 明朝" w:eastAsia="ＭＳ 明朝"/>
                <w:b w:val="0"/>
                <w:sz w:val="16"/>
              </w:rPr>
              <w:t>R13</w:t>
            </w:r>
          </w:p>
        </w:tc>
        <w:tc>
          <w:tcPr>
            <w:tcW w:type="dxa" w:w="3061"/>
          </w:tcPr>
          <w:p>
            <w:pPr>
              <w:spacing w:after="40"/>
              <w:jc w:val="left"/>
            </w:pPr>
            <w:r/>
            <w:r>
              <w:rPr>
                <w:rFonts w:ascii="ＭＳ 明朝" w:hAnsi="ＭＳ 明朝" w:eastAsia="ＭＳ 明朝"/>
                <w:b w:val="0"/>
                <w:sz w:val="16"/>
              </w:rPr>
              <w:t>「2.38倍が上限」は撤回する</w:t>
            </w:r>
          </w:p>
        </w:tc>
        <w:tc>
          <w:tcPr>
            <w:tcW w:type="dxa" w:w="6576"/>
          </w:tcPr>
          <w:p>
            <w:pPr>
              <w:spacing w:after="40"/>
              <w:jc w:val="left"/>
            </w:pPr>
            <w:r/>
            <w:r>
              <w:rPr>
                <w:rFonts w:ascii="ＭＳ 明朝" w:hAnsi="ＭＳ 明朝" w:eastAsia="ＭＳ 明朝"/>
                <w:b w:val="0"/>
                <w:color w:val="375623"/>
                <w:sz w:val="16"/>
              </w:rPr>
              <w:t>◎ 反映。1.99〜2.45倍を「繰入金の控除条件のみを変えた比較値」と明記し、上限・下限を示すものではないこと、他の条件を併せて変えれば2.5倍を超える場合もあることを注記</w:t>
            </w:r>
          </w:p>
        </w:tc>
        <w:tc>
          <w:tcPr>
            <w:tcW w:type="dxa" w:w="1928"/>
          </w:tcPr>
          <w:p>
            <w:pPr>
              <w:spacing w:after="40"/>
              <w:jc w:val="left"/>
            </w:pPr>
            <w:r/>
            <w:r>
              <w:rPr>
                <w:rFonts w:ascii="ＭＳ 明朝" w:hAnsi="ＭＳ 明朝" w:eastAsia="ＭＳ 明朝"/>
                <w:b w:val="0"/>
                <w:sz w:val="16"/>
              </w:rPr>
              <w:t>4-3注記、12-4</w:t>
            </w:r>
          </w:p>
        </w:tc>
        <w:tc>
          <w:tcPr>
            <w:tcW w:type="dxa" w:w="2778"/>
          </w:tcPr>
          <w:p>
            <w:pPr>
              <w:spacing w:after="40"/>
              <w:jc w:val="left"/>
            </w:pPr>
            <w:r/>
            <w:r>
              <w:rPr>
                <w:rFonts w:ascii="ＭＳ 明朝" w:hAnsi="ＭＳ 明朝" w:eastAsia="ＭＳ 明朝"/>
                <w:b w:val="0"/>
                <w:sz w:val="16"/>
              </w:rPr>
              <w:t>―</w:t>
            </w:r>
          </w:p>
        </w:tc>
      </w:tr>
      <w:tr>
        <w:tc>
          <w:tcPr>
            <w:tcW w:type="dxa" w:w="680"/>
          </w:tcPr>
          <w:p>
            <w:pPr>
              <w:spacing w:after="40"/>
              <w:jc w:val="center"/>
            </w:pPr>
            <w:r/>
            <w:r>
              <w:rPr>
                <w:rFonts w:ascii="ＭＳ 明朝" w:hAnsi="ＭＳ 明朝" w:eastAsia="ＭＳ 明朝"/>
                <w:b w:val="0"/>
                <w:sz w:val="16"/>
              </w:rPr>
              <w:t>R14</w:t>
            </w:r>
          </w:p>
        </w:tc>
        <w:tc>
          <w:tcPr>
            <w:tcW w:type="dxa" w:w="3061"/>
          </w:tcPr>
          <w:p>
            <w:pPr>
              <w:spacing w:after="40"/>
              <w:jc w:val="left"/>
            </w:pPr>
            <w:r/>
            <w:r>
              <w:rPr>
                <w:rFonts w:ascii="ＭＳ 明朝" w:hAnsi="ＭＳ 明朝" w:eastAsia="ＭＳ 明朝"/>
                <w:b w:val="0"/>
                <w:sz w:val="16"/>
              </w:rPr>
              <w:t>根拠資料の版と計算再現性を整える</w:t>
            </w:r>
          </w:p>
        </w:tc>
        <w:tc>
          <w:tcPr>
            <w:tcW w:type="dxa" w:w="6576"/>
          </w:tcPr>
          <w:p>
            <w:pPr>
              <w:spacing w:after="40"/>
              <w:jc w:val="left"/>
            </w:pPr>
            <w:r/>
            <w:r>
              <w:rPr>
                <w:rFonts w:ascii="ＭＳ 明朝" w:hAnsi="ＭＳ 明朝" w:eastAsia="ＭＳ 明朝"/>
                <w:b w:val="0"/>
                <w:color w:val="375623"/>
                <w:sz w:val="16"/>
              </w:rPr>
              <w:t>◎ 反映。旧版の試算資料を再現用として配布しないこと、固定値で保存された倍率と再計算値の区別、参照エラーの修復、建設改良費調査票の財源構成欄の数式を転記しないこと、3-Aの単価の丸めによる差を条例化前に統一することを掲載。各数値に採用版・対象年度・税区分・原票・確認者・確認日を付す方針を明記</w:t>
            </w:r>
          </w:p>
        </w:tc>
        <w:tc>
          <w:tcPr>
            <w:tcW w:type="dxa" w:w="1928"/>
          </w:tcPr>
          <w:p>
            <w:pPr>
              <w:spacing w:after="40"/>
              <w:jc w:val="left"/>
            </w:pPr>
            <w:r/>
            <w:r>
              <w:rPr>
                <w:rFonts w:ascii="ＭＳ 明朝" w:hAnsi="ＭＳ 明朝" w:eastAsia="ＭＳ 明朝"/>
                <w:b w:val="0"/>
                <w:sz w:val="16"/>
              </w:rPr>
              <w:t>12-3、8-2注記</w:t>
            </w:r>
          </w:p>
        </w:tc>
        <w:tc>
          <w:tcPr>
            <w:tcW w:type="dxa" w:w="2778"/>
          </w:tcPr>
          <w:p>
            <w:pPr>
              <w:spacing w:after="40"/>
              <w:jc w:val="left"/>
            </w:pPr>
            <w:r/>
            <w:r>
              <w:rPr>
                <w:rFonts w:ascii="ＭＳ 明朝" w:hAnsi="ＭＳ 明朝" w:eastAsia="ＭＳ 明朝"/>
                <w:b w:val="0"/>
                <w:sz w:val="16"/>
              </w:rPr>
              <w:t>採用資料の一本化</w:t>
            </w:r>
          </w:p>
        </w:tc>
      </w:tr>
    </w:tbl>
    <w:p>
      <w:pPr>
        <w:spacing w:after="160" w:line="276" w:lineRule="auto"/>
      </w:pPr>
      <w:r>
        <w:rPr>
          <w:rFonts w:ascii="ＭＳ 明朝" w:hAnsi="ＭＳ 明朝" w:eastAsia="ＭＳ 明朝"/>
          <w:b w:val="0"/>
          <w:color w:val="595959"/>
          <w:sz w:val="16"/>
        </w:rPr>
        <w:t>※ ◎は本改訂で反映済み。「残る課題」は最終報告に向けて確定させる事項であり、工程表および中間報告書12-1・12-2に対応する項目を掲げている。</w:t>
      </w:r>
    </w:p>
    <w:p>
      <w:r>
        <w:br w:type="page"/>
      </w:r>
    </w:p>
    <w:p>
      <w:pPr>
        <w:spacing w:before="200" w:after="80"/>
      </w:pPr>
      <w:r>
        <w:rPr>
          <w:rFonts w:ascii="ＭＳ ゴシック" w:hAnsi="ＭＳ ゴシック" w:eastAsia="ＭＳ ゴシック"/>
          <w:b/>
          <w:color w:val="2E75B6"/>
          <w:sz w:val="23"/>
        </w:rPr>
        <w:t>3　第1回指摘に伴う構成の変更</w:t>
      </w:r>
    </w:p>
    <w:p>
      <w:pPr>
        <w:spacing w:after="120" w:line="276" w:lineRule="auto"/>
      </w:pPr>
      <w:r>
        <w:rPr>
          <w:rFonts w:ascii="ＭＳ 明朝" w:hAnsi="ＭＳ 明朝" w:eastAsia="ＭＳ 明朝"/>
          <w:b w:val="0"/>
          <w:sz w:val="21"/>
        </w:rPr>
        <w:t>前提条件と限界を1か所で確認できるよう、第5章「本報告の前提と限界」を新設した。これに伴い旧第5章以降を1章ずつ繰り下げている。</w:t>
      </w:r>
    </w:p>
    <w:tbl>
      <w:tblPr>
        <w:tblStyle w:val="TableGrid"/>
        <w:tblW w:type="auto" w:w="0"/>
        <w:jc w:val="center"/>
        <w:tblLayout w:type="fixed"/>
        <w:tblLook w:firstColumn="1" w:firstRow="1" w:lastColumn="0" w:lastRow="0" w:noHBand="0" w:noVBand="1" w:val="04A0"/>
      </w:tblPr>
      <w:tblGrid>
        <w:gridCol w:w="5046"/>
        <w:gridCol w:w="5046"/>
        <w:gridCol w:w="5046"/>
      </w:tblGrid>
      <w:tr>
        <w:tc>
          <w:tcPr>
            <w:tcW w:type="dxa" w:w="1474"/>
            <w:shd w:val="clear" w:fill="2E75B6"/>
          </w:tcPr>
          <w:p>
            <w:pPr>
              <w:spacing w:after="40"/>
              <w:jc w:val="center"/>
            </w:pPr>
            <w:r/>
            <w:r>
              <w:rPr>
                <w:rFonts w:ascii="ＭＳ ゴシック" w:hAnsi="ＭＳ ゴシック" w:eastAsia="ＭＳ ゴシック"/>
                <w:b/>
                <w:color w:val="FFFFFF"/>
                <w:sz w:val="18"/>
              </w:rPr>
            </w:r>
          </w:p>
        </w:tc>
        <w:tc>
          <w:tcPr>
            <w:tcW w:type="dxa" w:w="5669"/>
            <w:shd w:val="clear" w:fill="2E75B6"/>
          </w:tcPr>
          <w:p>
            <w:pPr>
              <w:spacing w:after="40"/>
              <w:jc w:val="center"/>
            </w:pPr>
            <w:r/>
            <w:r>
              <w:rPr>
                <w:rFonts w:ascii="ＭＳ ゴシック" w:hAnsi="ＭＳ ゴシック" w:eastAsia="ＭＳ ゴシック"/>
                <w:b/>
                <w:color w:val="FFFFFF"/>
                <w:sz w:val="18"/>
              </w:rPr>
              <w:t>改訂前</w:t>
            </w:r>
          </w:p>
        </w:tc>
        <w:tc>
          <w:tcPr>
            <w:tcW w:type="dxa" w:w="5669"/>
            <w:shd w:val="clear" w:fill="2E75B6"/>
          </w:tcPr>
          <w:p>
            <w:pPr>
              <w:spacing w:after="40"/>
              <w:jc w:val="center"/>
            </w:pPr>
            <w:r/>
            <w:r>
              <w:rPr>
                <w:rFonts w:ascii="ＭＳ ゴシック" w:hAnsi="ＭＳ ゴシック" w:eastAsia="ＭＳ ゴシック"/>
                <w:b/>
                <w:color w:val="FFFFFF"/>
                <w:sz w:val="18"/>
              </w:rPr>
              <w:t>改訂後</w:t>
            </w:r>
          </w:p>
        </w:tc>
      </w:tr>
      <w:tr>
        <w:tc>
          <w:tcPr>
            <w:tcW w:type="dxa" w:w="1474"/>
          </w:tcPr>
          <w:p>
            <w:pPr>
              <w:spacing w:after="40"/>
              <w:jc w:val="center"/>
            </w:pPr>
            <w:r/>
            <w:r>
              <w:rPr>
                <w:rFonts w:ascii="ＭＳ 明朝" w:hAnsi="ＭＳ 明朝" w:eastAsia="ＭＳ 明朝"/>
                <w:b w:val="0"/>
                <w:sz w:val="18"/>
              </w:rPr>
              <w:t>第4章</w:t>
            </w:r>
          </w:p>
        </w:tc>
        <w:tc>
          <w:tcPr>
            <w:tcW w:type="dxa" w:w="5669"/>
          </w:tcPr>
          <w:p>
            <w:pPr>
              <w:spacing w:after="40"/>
              <w:jc w:val="left"/>
            </w:pPr>
            <w:r/>
            <w:r>
              <w:rPr>
                <w:rFonts w:ascii="ＭＳ 明朝" w:hAnsi="ＭＳ 明朝" w:eastAsia="ＭＳ 明朝"/>
                <w:b w:val="0"/>
                <w:sz w:val="18"/>
              </w:rPr>
              <w:t>総括原価の算定</w:t>
            </w:r>
          </w:p>
        </w:tc>
        <w:tc>
          <w:tcPr>
            <w:tcW w:type="dxa" w:w="5669"/>
          </w:tcPr>
          <w:p>
            <w:pPr>
              <w:spacing w:after="40"/>
              <w:jc w:val="left"/>
            </w:pPr>
            <w:r/>
            <w:r>
              <w:rPr>
                <w:rFonts w:ascii="ＭＳ 明朝" w:hAnsi="ＭＳ 明朝" w:eastAsia="ＭＳ 明朝"/>
                <w:b w:val="0"/>
                <w:sz w:val="18"/>
              </w:rPr>
              <w:t>総括原価の算定（変更なし）</w:t>
            </w:r>
          </w:p>
        </w:tc>
      </w:tr>
      <w:tr>
        <w:tc>
          <w:tcPr>
            <w:tcW w:type="dxa" w:w="1474"/>
          </w:tcPr>
          <w:p>
            <w:pPr>
              <w:spacing w:after="40"/>
              <w:jc w:val="center"/>
            </w:pPr>
            <w:r/>
            <w:r>
              <w:rPr>
                <w:rFonts w:ascii="ＭＳ 明朝" w:hAnsi="ＭＳ 明朝" w:eastAsia="ＭＳ 明朝"/>
                <w:b/>
                <w:sz w:val="18"/>
              </w:rPr>
              <w:t>第5章</w:t>
            </w:r>
          </w:p>
        </w:tc>
        <w:tc>
          <w:tcPr>
            <w:tcW w:type="dxa" w:w="5669"/>
          </w:tcPr>
          <w:p>
            <w:pPr>
              <w:spacing w:after="40"/>
              <w:jc w:val="left"/>
            </w:pPr>
            <w:r/>
            <w:r>
              <w:rPr>
                <w:rFonts w:ascii="ＭＳ 明朝" w:hAnsi="ＭＳ 明朝" w:eastAsia="ＭＳ 明朝"/>
                <w:b w:val="0"/>
                <w:sz w:val="18"/>
              </w:rPr>
              <w:t>料金改定シミュレーション①</w:t>
            </w:r>
          </w:p>
        </w:tc>
        <w:tc>
          <w:tcPr>
            <w:tcW w:type="dxa" w:w="5669"/>
          </w:tcPr>
          <w:p>
            <w:pPr>
              <w:spacing w:after="40"/>
              <w:jc w:val="left"/>
            </w:pPr>
            <w:r/>
            <w:r>
              <w:rPr>
                <w:rFonts w:ascii="ＭＳ 明朝" w:hAnsi="ＭＳ 明朝" w:eastAsia="ＭＳ 明朝"/>
                <w:b/>
                <w:sz w:val="18"/>
              </w:rPr>
              <w:t>本報告の前提と限界（新設）</w:t>
            </w:r>
          </w:p>
        </w:tc>
      </w:tr>
      <w:tr>
        <w:tc>
          <w:tcPr>
            <w:tcW w:type="dxa" w:w="1474"/>
          </w:tcPr>
          <w:p>
            <w:pPr>
              <w:spacing w:after="40"/>
              <w:jc w:val="center"/>
            </w:pPr>
            <w:r/>
            <w:r>
              <w:rPr>
                <w:rFonts w:ascii="ＭＳ 明朝" w:hAnsi="ＭＳ 明朝" w:eastAsia="ＭＳ 明朝"/>
                <w:b w:val="0"/>
                <w:sz w:val="18"/>
              </w:rPr>
              <w:t>第6章</w:t>
            </w:r>
          </w:p>
        </w:tc>
        <w:tc>
          <w:tcPr>
            <w:tcW w:type="dxa" w:w="5669"/>
          </w:tcPr>
          <w:p>
            <w:pPr>
              <w:spacing w:after="40"/>
              <w:jc w:val="left"/>
            </w:pPr>
            <w:r/>
            <w:r>
              <w:rPr>
                <w:rFonts w:ascii="ＭＳ 明朝" w:hAnsi="ＭＳ 明朝" w:eastAsia="ＭＳ 明朝"/>
                <w:b w:val="0"/>
                <w:sz w:val="18"/>
              </w:rPr>
              <w:t>料金改定シミュレーション②</w:t>
            </w:r>
          </w:p>
        </w:tc>
        <w:tc>
          <w:tcPr>
            <w:tcW w:type="dxa" w:w="5669"/>
          </w:tcPr>
          <w:p>
            <w:pPr>
              <w:spacing w:after="40"/>
              <w:jc w:val="left"/>
            </w:pPr>
            <w:r/>
            <w:r>
              <w:rPr>
                <w:rFonts w:ascii="ＭＳ 明朝" w:hAnsi="ＭＳ 明朝" w:eastAsia="ＭＳ 明朝"/>
                <w:b w:val="0"/>
                <w:sz w:val="18"/>
              </w:rPr>
              <w:t>料金改定シミュレーション①</w:t>
            </w:r>
          </w:p>
        </w:tc>
      </w:tr>
      <w:tr>
        <w:tc>
          <w:tcPr>
            <w:tcW w:type="dxa" w:w="1474"/>
          </w:tcPr>
          <w:p>
            <w:pPr>
              <w:spacing w:after="40"/>
              <w:jc w:val="center"/>
            </w:pPr>
            <w:r/>
            <w:r>
              <w:rPr>
                <w:rFonts w:ascii="ＭＳ 明朝" w:hAnsi="ＭＳ 明朝" w:eastAsia="ＭＳ 明朝"/>
                <w:b w:val="0"/>
                <w:sz w:val="18"/>
              </w:rPr>
              <w:t>第7章</w:t>
            </w:r>
          </w:p>
        </w:tc>
        <w:tc>
          <w:tcPr>
            <w:tcW w:type="dxa" w:w="5669"/>
          </w:tcPr>
          <w:p>
            <w:pPr>
              <w:spacing w:after="40"/>
              <w:jc w:val="left"/>
            </w:pPr>
            <w:r/>
            <w:r>
              <w:rPr>
                <w:rFonts w:ascii="ＭＳ 明朝" w:hAnsi="ＭＳ 明朝" w:eastAsia="ＭＳ 明朝"/>
                <w:b w:val="0"/>
                <w:sz w:val="18"/>
              </w:rPr>
              <w:t>料金改定シミュレーション③</w:t>
            </w:r>
          </w:p>
        </w:tc>
        <w:tc>
          <w:tcPr>
            <w:tcW w:type="dxa" w:w="5669"/>
          </w:tcPr>
          <w:p>
            <w:pPr>
              <w:spacing w:after="40"/>
              <w:jc w:val="left"/>
            </w:pPr>
            <w:r/>
            <w:r>
              <w:rPr>
                <w:rFonts w:ascii="ＭＳ 明朝" w:hAnsi="ＭＳ 明朝" w:eastAsia="ＭＳ 明朝"/>
                <w:b w:val="0"/>
                <w:sz w:val="18"/>
              </w:rPr>
              <w:t>料金改定シミュレーション②</w:t>
            </w:r>
          </w:p>
        </w:tc>
      </w:tr>
      <w:tr>
        <w:tc>
          <w:tcPr>
            <w:tcW w:type="dxa" w:w="1474"/>
          </w:tcPr>
          <w:p>
            <w:pPr>
              <w:spacing w:after="40"/>
              <w:jc w:val="center"/>
            </w:pPr>
            <w:r/>
            <w:r>
              <w:rPr>
                <w:rFonts w:ascii="ＭＳ 明朝" w:hAnsi="ＭＳ 明朝" w:eastAsia="ＭＳ 明朝"/>
                <w:b w:val="0"/>
                <w:sz w:val="18"/>
              </w:rPr>
              <w:t>第8章</w:t>
            </w:r>
          </w:p>
        </w:tc>
        <w:tc>
          <w:tcPr>
            <w:tcW w:type="dxa" w:w="5669"/>
          </w:tcPr>
          <w:p>
            <w:pPr>
              <w:spacing w:after="40"/>
              <w:jc w:val="left"/>
            </w:pPr>
            <w:r/>
            <w:r>
              <w:rPr>
                <w:rFonts w:ascii="ＭＳ 明朝" w:hAnsi="ＭＳ 明朝" w:eastAsia="ＭＳ 明朝"/>
                <w:b w:val="0"/>
                <w:sz w:val="18"/>
              </w:rPr>
              <w:t>料金体系の見直しに伴う影響</w:t>
            </w:r>
          </w:p>
        </w:tc>
        <w:tc>
          <w:tcPr>
            <w:tcW w:type="dxa" w:w="5669"/>
          </w:tcPr>
          <w:p>
            <w:pPr>
              <w:spacing w:after="40"/>
              <w:jc w:val="left"/>
            </w:pPr>
            <w:r/>
            <w:r>
              <w:rPr>
                <w:rFonts w:ascii="ＭＳ 明朝" w:hAnsi="ＭＳ 明朝" w:eastAsia="ＭＳ 明朝"/>
                <w:b w:val="0"/>
                <w:sz w:val="18"/>
              </w:rPr>
              <w:t>料金改定シミュレーション③</w:t>
            </w:r>
          </w:p>
        </w:tc>
      </w:tr>
      <w:tr>
        <w:tc>
          <w:tcPr>
            <w:tcW w:type="dxa" w:w="1474"/>
          </w:tcPr>
          <w:p>
            <w:pPr>
              <w:spacing w:after="40"/>
              <w:jc w:val="center"/>
            </w:pPr>
            <w:r/>
            <w:r>
              <w:rPr>
                <w:rFonts w:ascii="ＭＳ 明朝" w:hAnsi="ＭＳ 明朝" w:eastAsia="ＭＳ 明朝"/>
                <w:b w:val="0"/>
                <w:sz w:val="18"/>
              </w:rPr>
              <w:t>第9章</w:t>
            </w:r>
          </w:p>
        </w:tc>
        <w:tc>
          <w:tcPr>
            <w:tcW w:type="dxa" w:w="5669"/>
          </w:tcPr>
          <w:p>
            <w:pPr>
              <w:spacing w:after="40"/>
              <w:jc w:val="left"/>
            </w:pPr>
            <w:r/>
            <w:r>
              <w:rPr>
                <w:rFonts w:ascii="ＭＳ 明朝" w:hAnsi="ＭＳ 明朝" w:eastAsia="ＭＳ 明朝"/>
                <w:b w:val="0"/>
                <w:sz w:val="18"/>
              </w:rPr>
              <w:t>改定案の比較と段階改定・経過措置</w:t>
            </w:r>
          </w:p>
        </w:tc>
        <w:tc>
          <w:tcPr>
            <w:tcW w:type="dxa" w:w="5669"/>
          </w:tcPr>
          <w:p>
            <w:pPr>
              <w:spacing w:after="40"/>
              <w:jc w:val="left"/>
            </w:pPr>
            <w:r/>
            <w:r>
              <w:rPr>
                <w:rFonts w:ascii="ＭＳ 明朝" w:hAnsi="ＭＳ 明朝" w:eastAsia="ＭＳ 明朝"/>
                <w:b w:val="0"/>
                <w:sz w:val="18"/>
              </w:rPr>
              <w:t>料金体系の見直しに伴う影響</w:t>
            </w:r>
          </w:p>
        </w:tc>
      </w:tr>
      <w:tr>
        <w:tc>
          <w:tcPr>
            <w:tcW w:type="dxa" w:w="1474"/>
          </w:tcPr>
          <w:p>
            <w:pPr>
              <w:spacing w:after="40"/>
              <w:jc w:val="center"/>
            </w:pPr>
            <w:r/>
            <w:r>
              <w:rPr>
                <w:rFonts w:ascii="ＭＳ 明朝" w:hAnsi="ＭＳ 明朝" w:eastAsia="ＭＳ 明朝"/>
                <w:b w:val="0"/>
                <w:sz w:val="18"/>
              </w:rPr>
              <w:t>第10章</w:t>
            </w:r>
          </w:p>
        </w:tc>
        <w:tc>
          <w:tcPr>
            <w:tcW w:type="dxa" w:w="5669"/>
          </w:tcPr>
          <w:p>
            <w:pPr>
              <w:spacing w:after="40"/>
              <w:jc w:val="left"/>
            </w:pPr>
            <w:r/>
            <w:r>
              <w:rPr>
                <w:rFonts w:ascii="ＭＳ 明朝" w:hAnsi="ＭＳ 明朝" w:eastAsia="ＭＳ 明朝"/>
                <w:b w:val="0"/>
                <w:sz w:val="18"/>
              </w:rPr>
              <w:t>住民・議会説明用の要約</w:t>
            </w:r>
          </w:p>
        </w:tc>
        <w:tc>
          <w:tcPr>
            <w:tcW w:type="dxa" w:w="5669"/>
          </w:tcPr>
          <w:p>
            <w:pPr>
              <w:spacing w:after="40"/>
              <w:jc w:val="left"/>
            </w:pPr>
            <w:r/>
            <w:r>
              <w:rPr>
                <w:rFonts w:ascii="ＭＳ 明朝" w:hAnsi="ＭＳ 明朝" w:eastAsia="ＭＳ 明朝"/>
                <w:b w:val="0"/>
                <w:sz w:val="18"/>
              </w:rPr>
              <w:t>改定案の比較と段階改定・経過措置</w:t>
            </w:r>
          </w:p>
        </w:tc>
      </w:tr>
      <w:tr>
        <w:tc>
          <w:tcPr>
            <w:tcW w:type="dxa" w:w="1474"/>
          </w:tcPr>
          <w:p>
            <w:pPr>
              <w:spacing w:after="40"/>
              <w:jc w:val="center"/>
            </w:pPr>
            <w:r/>
            <w:r>
              <w:rPr>
                <w:rFonts w:ascii="ＭＳ 明朝" w:hAnsi="ＭＳ 明朝" w:eastAsia="ＭＳ 明朝"/>
                <w:b w:val="0"/>
                <w:sz w:val="18"/>
              </w:rPr>
              <w:t>第11章</w:t>
            </w:r>
          </w:p>
        </w:tc>
        <w:tc>
          <w:tcPr>
            <w:tcW w:type="dxa" w:w="5669"/>
          </w:tcPr>
          <w:p>
            <w:pPr>
              <w:spacing w:after="40"/>
              <w:jc w:val="left"/>
            </w:pPr>
            <w:r/>
            <w:r>
              <w:rPr>
                <w:rFonts w:ascii="ＭＳ 明朝" w:hAnsi="ＭＳ 明朝" w:eastAsia="ＭＳ 明朝"/>
                <w:b w:val="0"/>
                <w:sz w:val="18"/>
              </w:rPr>
              <w:t>今後の作業と確認事項</w:t>
            </w:r>
          </w:p>
        </w:tc>
        <w:tc>
          <w:tcPr>
            <w:tcW w:type="dxa" w:w="5669"/>
          </w:tcPr>
          <w:p>
            <w:pPr>
              <w:spacing w:after="40"/>
              <w:jc w:val="left"/>
            </w:pPr>
            <w:r/>
            <w:r>
              <w:rPr>
                <w:rFonts w:ascii="ＭＳ 明朝" w:hAnsi="ＭＳ 明朝" w:eastAsia="ＭＳ 明朝"/>
                <w:b w:val="0"/>
                <w:sz w:val="18"/>
              </w:rPr>
              <w:t>住民・議会説明用の要約</w:t>
            </w:r>
          </w:p>
        </w:tc>
      </w:tr>
      <w:tr>
        <w:tc>
          <w:tcPr>
            <w:tcW w:type="dxa" w:w="1474"/>
          </w:tcPr>
          <w:p>
            <w:pPr>
              <w:spacing w:after="40"/>
              <w:jc w:val="center"/>
            </w:pPr>
            <w:r/>
            <w:r>
              <w:rPr>
                <w:rFonts w:ascii="ＭＳ 明朝" w:hAnsi="ＭＳ 明朝" w:eastAsia="ＭＳ 明朝"/>
                <w:b/>
                <w:sz w:val="18"/>
              </w:rPr>
              <w:t>第12章</w:t>
            </w:r>
          </w:p>
        </w:tc>
        <w:tc>
          <w:tcPr>
            <w:tcW w:type="dxa" w:w="5669"/>
          </w:tcPr>
          <w:p>
            <w:pPr>
              <w:spacing w:after="40"/>
              <w:jc w:val="left"/>
            </w:pPr>
            <w:r/>
            <w:r>
              <w:rPr>
                <w:rFonts w:ascii="ＭＳ 明朝" w:hAnsi="ＭＳ 明朝" w:eastAsia="ＭＳ 明朝"/>
                <w:b w:val="0"/>
                <w:sz w:val="18"/>
              </w:rPr>
              <w:t>―</w:t>
            </w:r>
          </w:p>
        </w:tc>
        <w:tc>
          <w:tcPr>
            <w:tcW w:type="dxa" w:w="5669"/>
          </w:tcPr>
          <w:p>
            <w:pPr>
              <w:spacing w:after="40"/>
              <w:jc w:val="left"/>
            </w:pPr>
            <w:r/>
            <w:r>
              <w:rPr>
                <w:rFonts w:ascii="ＭＳ 明朝" w:hAnsi="ＭＳ 明朝" w:eastAsia="ＭＳ 明朝"/>
                <w:b/>
                <w:sz w:val="18"/>
              </w:rPr>
              <w:t>今後の作業と確認事項</w:t>
            </w:r>
          </w:p>
        </w:tc>
      </w:tr>
    </w:tbl>
    <w:p>
      <w:pPr>
        <w:spacing w:after="80" w:line="276" w:lineRule="auto"/>
      </w:pPr>
    </w:p>
    <w:p>
      <w:r>
        <w:br w:type="page"/>
      </w:r>
    </w:p>
    <w:p>
      <w:pPr>
        <w:spacing w:before="200" w:after="80"/>
      </w:pPr>
      <w:r>
        <w:rPr>
          <w:rFonts w:ascii="ＭＳ ゴシック" w:hAnsi="ＭＳ ゴシック" w:eastAsia="ＭＳ ゴシック"/>
          <w:b/>
          <w:color w:val="2E75B6"/>
          <w:sz w:val="23"/>
        </w:rPr>
        <w:t>4　第2回指摘（差戻し6件）への対応</w:t>
      </w:r>
    </w:p>
    <w:p>
      <w:pPr>
        <w:spacing w:after="120" w:line="276" w:lineRule="auto"/>
      </w:pPr>
      <w:r>
        <w:rPr>
          <w:rFonts w:ascii="ＭＳ 明朝" w:hAnsi="ＭＳ 明朝" w:eastAsia="ＭＳ 明朝"/>
          <w:b w:val="0"/>
          <w:sz w:val="21"/>
        </w:rPr>
        <w:t>第2回の指摘は、数値の誤りではなく「確定値として示せる段階にない事項を、確定値のように示している」という点に集中している。数値そのものは変えず、位置づけの明示、計算根拠の一本化、実施時期の統一で対応した。</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c>
          <w:tcPr>
            <w:tcW w:type="dxa" w:w="680"/>
            <w:shd w:val="clear" w:fill="2E75B6"/>
          </w:tcPr>
          <w:p>
            <w:pPr>
              <w:spacing w:after="40"/>
              <w:jc w:val="center"/>
            </w:pPr>
            <w:r/>
            <w:r>
              <w:rPr>
                <w:rFonts w:ascii="ＭＳ ゴシック" w:hAnsi="ＭＳ ゴシック" w:eastAsia="ＭＳ ゴシック"/>
                <w:b/>
                <w:color w:val="FFFFFF"/>
                <w:sz w:val="16"/>
              </w:rPr>
              <w:t>No</w:t>
            </w:r>
          </w:p>
        </w:tc>
        <w:tc>
          <w:tcPr>
            <w:tcW w:type="dxa" w:w="4309"/>
            <w:shd w:val="clear" w:fill="2E75B6"/>
          </w:tcPr>
          <w:p>
            <w:pPr>
              <w:spacing w:after="40"/>
              <w:jc w:val="center"/>
            </w:pPr>
            <w:r/>
            <w:r>
              <w:rPr>
                <w:rFonts w:ascii="ＭＳ ゴシック" w:hAnsi="ＭＳ ゴシック" w:eastAsia="ＭＳ ゴシック"/>
                <w:b/>
                <w:color w:val="FFFFFF"/>
                <w:sz w:val="16"/>
              </w:rPr>
              <w:t>指摘の要点</w:t>
            </w:r>
          </w:p>
        </w:tc>
        <w:tc>
          <w:tcPr>
            <w:tcW w:type="dxa" w:w="7483"/>
            <w:shd w:val="clear" w:fill="2E75B6"/>
          </w:tcPr>
          <w:p>
            <w:pPr>
              <w:spacing w:after="40"/>
              <w:jc w:val="center"/>
            </w:pPr>
            <w:r/>
            <w:r>
              <w:rPr>
                <w:rFonts w:ascii="ＭＳ ゴシック" w:hAnsi="ＭＳ ゴシック" w:eastAsia="ＭＳ ゴシック"/>
                <w:b/>
                <w:color w:val="FFFFFF"/>
                <w:sz w:val="16"/>
              </w:rPr>
              <w:t>対応内容</w:t>
            </w:r>
          </w:p>
        </w:tc>
        <w:tc>
          <w:tcPr>
            <w:tcW w:type="dxa" w:w="3118"/>
            <w:shd w:val="clear" w:fill="2E75B6"/>
          </w:tcPr>
          <w:p>
            <w:pPr>
              <w:spacing w:after="40"/>
              <w:jc w:val="center"/>
            </w:pPr>
            <w:r/>
            <w:r>
              <w:rPr>
                <w:rFonts w:ascii="ＭＳ ゴシック" w:hAnsi="ＭＳ ゴシック" w:eastAsia="ＭＳ ゴシック"/>
                <w:b/>
                <w:color w:val="FFFFFF"/>
                <w:sz w:val="16"/>
              </w:rPr>
              <w:t>反映箇所</w:t>
            </w:r>
          </w:p>
        </w:tc>
      </w:tr>
      <w:tr>
        <w:tc>
          <w:tcPr>
            <w:tcW w:type="dxa" w:w="680"/>
          </w:tcPr>
          <w:p>
            <w:pPr>
              <w:spacing w:after="40"/>
              <w:jc w:val="center"/>
            </w:pPr>
            <w:r/>
            <w:r>
              <w:rPr>
                <w:rFonts w:ascii="ＭＳ 明朝" w:hAnsi="ＭＳ 明朝" w:eastAsia="ＭＳ 明朝"/>
                <w:b w:val="0"/>
                <w:sz w:val="16"/>
              </w:rPr>
              <w:t>1</w:t>
            </w:r>
          </w:p>
        </w:tc>
        <w:tc>
          <w:tcPr>
            <w:tcW w:type="dxa" w:w="4309"/>
          </w:tcPr>
          <w:p>
            <w:pPr>
              <w:spacing w:after="40"/>
              <w:jc w:val="left"/>
            </w:pPr>
            <w:r/>
            <w:r>
              <w:rPr>
                <w:rFonts w:ascii="ＭＳ 明朝" w:hAnsi="ＭＳ 明朝" w:eastAsia="ＭＳ 明朝"/>
                <w:b w:val="0"/>
                <w:sz w:val="16"/>
              </w:rPr>
              <w:t>実施年度が矛盾している。第1次改定を令和8年度内とする一方、工程表は議決を令和9年3月、適用開始を令和9年4月以降としている</w:t>
            </w:r>
          </w:p>
        </w:tc>
        <w:tc>
          <w:tcPr>
            <w:tcW w:type="dxa" w:w="7483"/>
          </w:tcPr>
          <w:p>
            <w:pPr>
              <w:spacing w:after="40"/>
              <w:jc w:val="left"/>
            </w:pPr>
            <w:r/>
            <w:r>
              <w:rPr>
                <w:rFonts w:ascii="ＭＳ 明朝" w:hAnsi="ＭＳ 明朝" w:eastAsia="ＭＳ 明朝"/>
                <w:b w:val="0"/>
                <w:color w:val="375623"/>
                <w:sz w:val="16"/>
              </w:rPr>
              <w:t>◎ 反映。「改定案の決定・条例の議決」と「新料金の適用開始」を分け、議決は令和9年3月、適用開始は令和9年4月以降に統一した。令和8年度の料金は現行のままであり、増収は令和9年度以降に生じることを明記。令和8年度・令和9年度の実収入の算定を最終報告の作業に追加</w:t>
            </w:r>
          </w:p>
        </w:tc>
        <w:tc>
          <w:tcPr>
            <w:tcW w:type="dxa" w:w="3118"/>
          </w:tcPr>
          <w:p>
            <w:pPr>
              <w:spacing w:after="40"/>
              <w:jc w:val="left"/>
            </w:pPr>
            <w:r/>
            <w:r>
              <w:rPr>
                <w:rFonts w:ascii="ＭＳ 明朝" w:hAnsi="ＭＳ 明朝" w:eastAsia="ＭＳ 明朝"/>
                <w:b w:val="0"/>
                <w:sz w:val="16"/>
              </w:rPr>
              <w:t>7-3、10-2、10-4、11章5節、工程表1節</w:t>
            </w:r>
          </w:p>
        </w:tc>
      </w:tr>
      <w:tr>
        <w:tc>
          <w:tcPr>
            <w:tcW w:type="dxa" w:w="680"/>
          </w:tcPr>
          <w:p>
            <w:pPr>
              <w:spacing w:after="40"/>
              <w:jc w:val="center"/>
            </w:pPr>
            <w:r/>
            <w:r>
              <w:rPr>
                <w:rFonts w:ascii="ＭＳ 明朝" w:hAnsi="ＭＳ 明朝" w:eastAsia="ＭＳ 明朝"/>
                <w:b w:val="0"/>
                <w:sz w:val="16"/>
              </w:rPr>
              <w:t>2</w:t>
            </w:r>
          </w:p>
        </w:tc>
        <w:tc>
          <w:tcPr>
            <w:tcW w:type="dxa" w:w="4309"/>
          </w:tcPr>
          <w:p>
            <w:pPr>
              <w:spacing w:after="40"/>
              <w:jc w:val="left"/>
            </w:pPr>
            <w:r/>
            <w:r>
              <w:rPr>
                <w:rFonts w:ascii="ＭＳ 明朝" w:hAnsi="ＭＳ 明朝" w:eastAsia="ＭＳ 明朝"/>
                <w:b w:val="0"/>
                <w:sz w:val="16"/>
              </w:rPr>
              <w:t>同梱の計算資料が改訂本文を再現しない。旧版のExcelに旧前提・誤式が残ったまま同梱されている</w:t>
            </w:r>
          </w:p>
        </w:tc>
        <w:tc>
          <w:tcPr>
            <w:tcW w:type="dxa" w:w="7483"/>
          </w:tcPr>
          <w:p>
            <w:pPr>
              <w:spacing w:after="40"/>
              <w:jc w:val="left"/>
            </w:pPr>
            <w:r/>
            <w:r>
              <w:rPr>
                <w:rFonts w:ascii="ＭＳ 明朝" w:hAnsi="ＭＳ 明朝" w:eastAsia="ＭＳ 明朝"/>
                <w:b w:val="0"/>
                <w:color w:val="375623"/>
                <w:sz w:val="16"/>
              </w:rPr>
              <w:t>◎ 反映。本文の全指標を再現する採用計算表を新たに作成した。07_本文照合表で報告書の18項目と突き合わせ、全項目の一致を確認している。旧版のExcelは受け渡し用zipの `09_old_do_not_use/` に移し、使用不可であることをファイル名対応表の冒頭に明記した</w:t>
            </w:r>
          </w:p>
        </w:tc>
        <w:tc>
          <w:tcPr>
            <w:tcW w:type="dxa" w:w="3118"/>
          </w:tcPr>
          <w:p>
            <w:pPr>
              <w:spacing w:after="40"/>
              <w:jc w:val="left"/>
            </w:pPr>
            <w:r/>
            <w:r>
              <w:rPr>
                <w:rFonts w:ascii="ＭＳ 明朝" w:hAnsi="ＭＳ 明朝" w:eastAsia="ＭＳ 明朝"/>
                <w:b w:val="0"/>
                <w:sz w:val="16"/>
              </w:rPr>
              <w:t>採用計算表（新規）、ファイル名対応表、12-3</w:t>
            </w:r>
          </w:p>
        </w:tc>
      </w:tr>
      <w:tr>
        <w:tc>
          <w:tcPr>
            <w:tcW w:type="dxa" w:w="680"/>
          </w:tcPr>
          <w:p>
            <w:pPr>
              <w:spacing w:after="40"/>
              <w:jc w:val="center"/>
            </w:pPr>
            <w:r/>
            <w:r>
              <w:rPr>
                <w:rFonts w:ascii="ＭＳ 明朝" w:hAnsi="ＭＳ 明朝" w:eastAsia="ＭＳ 明朝"/>
                <w:b w:val="0"/>
                <w:sz w:val="16"/>
              </w:rPr>
              <w:t>3</w:t>
            </w:r>
          </w:p>
        </w:tc>
        <w:tc>
          <w:tcPr>
            <w:tcW w:type="dxa" w:w="4309"/>
          </w:tcPr>
          <w:p>
            <w:pPr>
              <w:spacing w:after="40"/>
              <w:jc w:val="left"/>
            </w:pPr>
            <w:r/>
            <w:r>
              <w:rPr>
                <w:rFonts w:ascii="ＭＳ 明朝" w:hAnsi="ＭＳ 明朝" w:eastAsia="ＭＳ 明朝"/>
                <w:b w:val="0"/>
                <w:sz w:val="16"/>
              </w:rPr>
              <w:t>1.99倍の中核前提が未立証のまま、確定水準のように示されている</w:t>
            </w:r>
          </w:p>
        </w:tc>
        <w:tc>
          <w:tcPr>
            <w:tcW w:type="dxa" w:w="7483"/>
          </w:tcPr>
          <w:p>
            <w:pPr>
              <w:spacing w:after="40"/>
              <w:jc w:val="left"/>
            </w:pPr>
            <w:r/>
            <w:r>
              <w:rPr>
                <w:rFonts w:ascii="ＭＳ 明朝" w:hAnsi="ＭＳ 明朝" w:eastAsia="ＭＳ 明朝"/>
                <w:b w:val="0"/>
                <w:color w:val="375623"/>
                <w:sz w:val="16"/>
              </w:rPr>
              <w:t>◎ 反映。4-3に「確定した改定水準ではなく前提条件つきの試算値」と明記し、表の項目名も「必要改定率（試算値）」に改めた。ファイル名対応表にも引用上の注意として記載</w:t>
            </w:r>
          </w:p>
        </w:tc>
        <w:tc>
          <w:tcPr>
            <w:tcW w:type="dxa" w:w="3118"/>
          </w:tcPr>
          <w:p>
            <w:pPr>
              <w:spacing w:after="40"/>
              <w:jc w:val="left"/>
            </w:pPr>
            <w:r/>
            <w:r>
              <w:rPr>
                <w:rFonts w:ascii="ＭＳ 明朝" w:hAnsi="ＭＳ 明朝" w:eastAsia="ＭＳ 明朝"/>
                <w:b w:val="0"/>
                <w:sz w:val="16"/>
              </w:rPr>
              <w:t>4-3、12-4、ファイル名対応表</w:t>
            </w:r>
          </w:p>
        </w:tc>
      </w:tr>
      <w:tr>
        <w:tc>
          <w:tcPr>
            <w:tcW w:type="dxa" w:w="680"/>
          </w:tcPr>
          <w:p>
            <w:pPr>
              <w:spacing w:after="40"/>
              <w:jc w:val="center"/>
            </w:pPr>
            <w:r/>
            <w:r>
              <w:rPr>
                <w:rFonts w:ascii="ＭＳ 明朝" w:hAnsi="ＭＳ 明朝" w:eastAsia="ＭＳ 明朝"/>
                <w:b w:val="0"/>
                <w:sz w:val="16"/>
              </w:rPr>
              <w:t>4</w:t>
            </w:r>
          </w:p>
        </w:tc>
        <w:tc>
          <w:tcPr>
            <w:tcW w:type="dxa" w:w="4309"/>
          </w:tcPr>
          <w:p>
            <w:pPr>
              <w:spacing w:after="40"/>
              <w:jc w:val="left"/>
            </w:pPr>
            <w:r/>
            <w:r>
              <w:rPr>
                <w:rFonts w:ascii="ＭＳ 明朝" w:hAnsi="ＭＳ 明朝" w:eastAsia="ＭＳ 明朝"/>
                <w:b w:val="0"/>
                <w:sz w:val="16"/>
              </w:rPr>
              <w:t>口径別3-Aの「100％回収」が実績検証の結果のように読める</w:t>
            </w:r>
          </w:p>
        </w:tc>
        <w:tc>
          <w:tcPr>
            <w:tcW w:type="dxa" w:w="7483"/>
          </w:tcPr>
          <w:p>
            <w:pPr>
              <w:spacing w:after="40"/>
              <w:jc w:val="left"/>
            </w:pPr>
            <w:r/>
            <w:r>
              <w:rPr>
                <w:rFonts w:ascii="ＭＳ 明朝" w:hAnsi="ＭＳ 明朝" w:eastAsia="ＭＳ 明朝"/>
                <w:b w:val="0"/>
                <w:color w:val="375623"/>
                <w:sz w:val="16"/>
              </w:rPr>
              <w:t>◎ 反映。9-5・9-6の100.0％に、総括原価と一致するよう料金水準を逆算した結果であり実際の調定データで検証した値ではない旨の注記を付した。採用計算表でも水準係数を「設定値」と明記</w:t>
            </w:r>
          </w:p>
        </w:tc>
        <w:tc>
          <w:tcPr>
            <w:tcW w:type="dxa" w:w="3118"/>
          </w:tcPr>
          <w:p>
            <w:pPr>
              <w:spacing w:after="40"/>
              <w:jc w:val="left"/>
            </w:pPr>
            <w:r/>
            <w:r>
              <w:rPr>
                <w:rFonts w:ascii="ＭＳ 明朝" w:hAnsi="ＭＳ 明朝" w:eastAsia="ＭＳ 明朝"/>
                <w:b w:val="0"/>
                <w:sz w:val="16"/>
              </w:rPr>
              <w:t>9-5、9-6、8-1、採用計算表03</w:t>
            </w:r>
          </w:p>
        </w:tc>
      </w:tr>
      <w:tr>
        <w:tc>
          <w:tcPr>
            <w:tcW w:type="dxa" w:w="680"/>
          </w:tcPr>
          <w:p>
            <w:pPr>
              <w:spacing w:after="40"/>
              <w:jc w:val="center"/>
            </w:pPr>
            <w:r/>
            <w:r>
              <w:rPr>
                <w:rFonts w:ascii="ＭＳ 明朝" w:hAnsi="ＭＳ 明朝" w:eastAsia="ＭＳ 明朝"/>
                <w:b w:val="0"/>
                <w:sz w:val="16"/>
              </w:rPr>
              <w:t>5</w:t>
            </w:r>
          </w:p>
        </w:tc>
        <w:tc>
          <w:tcPr>
            <w:tcW w:type="dxa" w:w="4309"/>
          </w:tcPr>
          <w:p>
            <w:pPr>
              <w:spacing w:after="40"/>
              <w:jc w:val="left"/>
            </w:pPr>
            <w:r/>
            <w:r>
              <w:rPr>
                <w:rFonts w:ascii="ＭＳ 明朝" w:hAnsi="ＭＳ 明朝" w:eastAsia="ＭＳ 明朝"/>
                <w:b w:val="0"/>
                <w:sz w:val="16"/>
              </w:rPr>
              <w:t>3-Bが未完成のまま、住民・議会説明用の3案の一つとして具体額とともに示されている</w:t>
            </w:r>
          </w:p>
        </w:tc>
        <w:tc>
          <w:tcPr>
            <w:tcW w:type="dxa" w:w="7483"/>
          </w:tcPr>
          <w:p>
            <w:pPr>
              <w:spacing w:after="40"/>
              <w:jc w:val="left"/>
            </w:pPr>
            <w:r/>
            <w:r>
              <w:rPr>
                <w:rFonts w:ascii="ＭＳ 明朝" w:hAnsi="ＭＳ 明朝" w:eastAsia="ＭＳ 明朝"/>
                <w:b w:val="0"/>
                <w:color w:val="375623"/>
                <w:sz w:val="16"/>
              </w:rPr>
              <w:t>◎ 反映。第11章の3案比較をA案・B案・C案に改め、D案の具体額を削除した。水産加工業への配慮は「検討中」として別立てにし、境界の逆転と減収額の未算定を理由として記載。8-3の設定案にも「未設計の参考仮定。住民・議会説明および条例化の対象としない」を明記</w:t>
            </w:r>
          </w:p>
        </w:tc>
        <w:tc>
          <w:tcPr>
            <w:tcW w:type="dxa" w:w="3118"/>
          </w:tcPr>
          <w:p>
            <w:pPr>
              <w:spacing w:after="40"/>
              <w:jc w:val="left"/>
            </w:pPr>
            <w:r/>
            <w:r>
              <w:rPr>
                <w:rFonts w:ascii="ＭＳ 明朝" w:hAnsi="ＭＳ 明朝" w:eastAsia="ＭＳ 明朝"/>
                <w:b w:val="0"/>
                <w:sz w:val="16"/>
              </w:rPr>
              <w:t>11章2節・3節、8-3、10-1</w:t>
            </w:r>
          </w:p>
        </w:tc>
      </w:tr>
      <w:tr>
        <w:tc>
          <w:tcPr>
            <w:tcW w:type="dxa" w:w="680"/>
          </w:tcPr>
          <w:p>
            <w:pPr>
              <w:spacing w:after="40"/>
              <w:jc w:val="center"/>
            </w:pPr>
            <w:r/>
            <w:r>
              <w:rPr>
                <w:rFonts w:ascii="ＭＳ 明朝" w:hAnsi="ＭＳ 明朝" w:eastAsia="ＭＳ 明朝"/>
                <w:b w:val="0"/>
                <w:sz w:val="16"/>
              </w:rPr>
              <w:t>6</w:t>
            </w:r>
          </w:p>
        </w:tc>
        <w:tc>
          <w:tcPr>
            <w:tcW w:type="dxa" w:w="4309"/>
          </w:tcPr>
          <w:p>
            <w:pPr>
              <w:spacing w:after="40"/>
              <w:jc w:val="left"/>
            </w:pPr>
            <w:r/>
            <w:r>
              <w:rPr>
                <w:rFonts w:ascii="ＭＳ 明朝" w:hAnsi="ＭＳ 明朝" w:eastAsia="ＭＳ 明朝"/>
                <w:b w:val="0"/>
                <w:sz w:val="16"/>
              </w:rPr>
              <w:t>工程表の遅延時対応が検証要件と衝突している</w:t>
            </w:r>
          </w:p>
        </w:tc>
        <w:tc>
          <w:tcPr>
            <w:tcW w:type="dxa" w:w="7483"/>
          </w:tcPr>
          <w:p>
            <w:pPr>
              <w:spacing w:after="40"/>
              <w:jc w:val="left"/>
            </w:pPr>
            <w:r/>
            <w:r>
              <w:rPr>
                <w:rFonts w:ascii="ＭＳ 明朝" w:hAnsi="ＭＳ 明朝" w:eastAsia="ＭＳ 明朝"/>
                <w:b w:val="0"/>
                <w:color w:val="375623"/>
                <w:sz w:val="16"/>
              </w:rPr>
              <w:t>◎ 反映。調定明細が遅れる場合は、現行体系を維持するA案・B案の条件付き比較までを最終報告の範囲とし、C案・D案の採用決定と条例用料金表は検証の完了を条件とした。代替データを用いる場合の対象率・欠損・誤差・決裁条件の明示も加えた。4-2の「数値差替えで足りる」も書き改めた</w:t>
            </w:r>
          </w:p>
        </w:tc>
        <w:tc>
          <w:tcPr>
            <w:tcW w:type="dxa" w:w="3118"/>
          </w:tcPr>
          <w:p>
            <w:pPr>
              <w:spacing w:after="40"/>
              <w:jc w:val="left"/>
            </w:pPr>
            <w:r/>
            <w:r>
              <w:rPr>
                <w:rFonts w:ascii="ＭＳ 明朝" w:hAnsi="ＭＳ 明朝" w:eastAsia="ＭＳ 明朝"/>
                <w:b w:val="0"/>
                <w:sz w:val="16"/>
              </w:rPr>
              <w:t>工程表4-2、4-3</w:t>
            </w:r>
          </w:p>
        </w:tc>
      </w:tr>
    </w:tbl>
    <w:p>
      <w:pPr>
        <w:spacing w:after="160" w:line="276" w:lineRule="auto"/>
      </w:pPr>
      <w:r>
        <w:rPr>
          <w:rFonts w:ascii="ＭＳ 明朝" w:hAnsi="ＭＳ 明朝" w:eastAsia="ＭＳ 明朝"/>
          <w:b w:val="0"/>
          <w:color w:val="595959"/>
          <w:sz w:val="16"/>
        </w:rPr>
        <w:t>※ いずれも本文の数値は変えていない。位置づけの明示と計算根拠の一本化による対応である。</w:t>
      </w:r>
    </w:p>
    <w:p>
      <w:pPr>
        <w:spacing w:before="200" w:after="80"/>
      </w:pPr>
      <w:r>
        <w:rPr>
          <w:rFonts w:ascii="ＭＳ ゴシック" w:hAnsi="ＭＳ ゴシック" w:eastAsia="ＭＳ ゴシック"/>
          <w:b/>
          <w:color w:val="2E75B6"/>
          <w:sz w:val="23"/>
        </w:rPr>
        <w:t>5　第2回で新たに判明した事項</w:t>
      </w:r>
    </w:p>
    <w:tbl>
      <w:tblPr>
        <w:tblStyle w:val="TableGrid"/>
        <w:tblW w:type="auto" w:w="0"/>
        <w:jc w:val="center"/>
        <w:tblLayout w:type="fixed"/>
        <w:tblLook w:firstColumn="1" w:firstRow="1" w:lastColumn="0" w:lastRow="0" w:noHBand="0" w:noVBand="1" w:val="04A0"/>
      </w:tblPr>
      <w:tblGrid>
        <w:gridCol w:w="5046"/>
        <w:gridCol w:w="5046"/>
        <w:gridCol w:w="5046"/>
      </w:tblGrid>
      <w:tr>
        <w:tc>
          <w:tcPr>
            <w:tcW w:type="dxa" w:w="2835"/>
            <w:shd w:val="clear" w:fill="2E75B6"/>
          </w:tcPr>
          <w:p>
            <w:pPr>
              <w:spacing w:after="40"/>
              <w:jc w:val="center"/>
            </w:pPr>
            <w:r/>
            <w:r>
              <w:rPr>
                <w:rFonts w:ascii="ＭＳ ゴシック" w:hAnsi="ＭＳ ゴシック" w:eastAsia="ＭＳ ゴシック"/>
                <w:b/>
                <w:color w:val="FFFFFF"/>
                <w:sz w:val="17"/>
              </w:rPr>
              <w:t>事項</w:t>
            </w:r>
          </w:p>
        </w:tc>
        <w:tc>
          <w:tcPr>
            <w:tcW w:type="dxa" w:w="6236"/>
            <w:shd w:val="clear" w:fill="2E75B6"/>
          </w:tcPr>
          <w:p>
            <w:pPr>
              <w:spacing w:after="40"/>
              <w:jc w:val="center"/>
            </w:pPr>
            <w:r/>
            <w:r>
              <w:rPr>
                <w:rFonts w:ascii="ＭＳ ゴシック" w:hAnsi="ＭＳ ゴシック" w:eastAsia="ＭＳ ゴシック"/>
                <w:b/>
                <w:color w:val="FFFFFF"/>
                <w:sz w:val="17"/>
              </w:rPr>
              <w:t>内容</w:t>
            </w:r>
          </w:p>
        </w:tc>
        <w:tc>
          <w:tcPr>
            <w:tcW w:type="dxa" w:w="6520"/>
            <w:shd w:val="clear" w:fill="2E75B6"/>
          </w:tcPr>
          <w:p>
            <w:pPr>
              <w:spacing w:after="40"/>
              <w:jc w:val="center"/>
            </w:pPr>
            <w:r/>
            <w:r>
              <w:rPr>
                <w:rFonts w:ascii="ＭＳ ゴシック" w:hAnsi="ＭＳ ゴシック" w:eastAsia="ＭＳ ゴシック"/>
                <w:b/>
                <w:color w:val="FFFFFF"/>
                <w:sz w:val="17"/>
              </w:rPr>
              <w:t>対応</w:t>
            </w:r>
          </w:p>
        </w:tc>
      </w:tr>
      <w:tr>
        <w:tc>
          <w:tcPr>
            <w:tcW w:type="dxa" w:w="2835"/>
          </w:tcPr>
          <w:p>
            <w:pPr>
              <w:spacing w:after="40"/>
              <w:jc w:val="center"/>
            </w:pPr>
            <w:r/>
            <w:r>
              <w:rPr>
                <w:rFonts w:ascii="ＭＳ 明朝" w:hAnsi="ＭＳ 明朝" w:eastAsia="ＭＳ 明朝"/>
                <w:b w:val="0"/>
                <w:sz w:val="17"/>
              </w:rPr>
              <w:t>令和8年4〜6月請求分の基本料金等の免除</w:t>
            </w:r>
          </w:p>
        </w:tc>
        <w:tc>
          <w:tcPr>
            <w:tcW w:type="dxa" w:w="6236"/>
          </w:tcPr>
          <w:p>
            <w:pPr>
              <w:spacing w:after="40"/>
              <w:jc w:val="left"/>
            </w:pPr>
            <w:r/>
            <w:r>
              <w:rPr>
                <w:rFonts w:ascii="ＭＳ 明朝" w:hAnsi="ＭＳ 明朝" w:eastAsia="ＭＳ 明朝"/>
                <w:b w:val="0"/>
                <w:sz w:val="17"/>
              </w:rPr>
              <w:t>官公庁等を除き、上水道の基本料金とメーター使用料を3か月免除する措置がとられているとの情報を得た。財源は国の物価高騰対応重点支援地方創生臨時交付金とされる。当方では原典を確認できていない</w:t>
            </w:r>
          </w:p>
        </w:tc>
        <w:tc>
          <w:tcPr>
            <w:tcW w:type="dxa" w:w="6520"/>
          </w:tcPr>
          <w:p>
            <w:pPr>
              <w:spacing w:after="40"/>
              <w:jc w:val="left"/>
            </w:pPr>
            <w:r/>
            <w:r>
              <w:rPr>
                <w:rFonts w:ascii="ＭＳ 明朝" w:hAnsi="ＭＳ 明朝" w:eastAsia="ＭＳ 明朝"/>
                <w:b w:val="0"/>
                <w:sz w:val="17"/>
              </w:rPr>
              <w:t>5-10を新設し、免除による調定減と補填収入の整理が必要であることを記載。町への確認事項とデータ依頼に追加した</w:t>
            </w:r>
          </w:p>
        </w:tc>
      </w:tr>
      <w:tr>
        <w:tc>
          <w:tcPr>
            <w:tcW w:type="dxa" w:w="2835"/>
          </w:tcPr>
          <w:p>
            <w:pPr>
              <w:spacing w:after="40"/>
              <w:jc w:val="center"/>
            </w:pPr>
            <w:r/>
            <w:r>
              <w:rPr>
                <w:rFonts w:ascii="ＭＳ 明朝" w:hAnsi="ＭＳ 明朝" w:eastAsia="ＭＳ 明朝"/>
                <w:b w:val="0"/>
                <w:sz w:val="17"/>
              </w:rPr>
              <w:t>端数処理</w:t>
            </w:r>
          </w:p>
        </w:tc>
        <w:tc>
          <w:tcPr>
            <w:tcW w:type="dxa" w:w="6236"/>
          </w:tcPr>
          <w:p>
            <w:pPr>
              <w:spacing w:after="40"/>
              <w:jc w:val="left"/>
            </w:pPr>
            <w:r/>
            <w:r>
              <w:rPr>
                <w:rFonts w:ascii="ＭＳ 明朝" w:hAnsi="ＭＳ 明朝" w:eastAsia="ＭＳ 明朝"/>
                <w:b w:val="0"/>
                <w:sz w:val="17"/>
              </w:rPr>
              <w:t>現行料金の端数処理は1円未満の切捨てとされている</w:t>
            </w:r>
          </w:p>
        </w:tc>
        <w:tc>
          <w:tcPr>
            <w:tcW w:type="dxa" w:w="6520"/>
          </w:tcPr>
          <w:p>
            <w:pPr>
              <w:spacing w:after="40"/>
              <w:jc w:val="left"/>
            </w:pPr>
            <w:r/>
            <w:r>
              <w:rPr>
                <w:rFonts w:ascii="ＭＳ 明朝" w:hAnsi="ＭＳ 明朝" w:eastAsia="ＭＳ 明朝"/>
                <w:b w:val="0"/>
                <w:sz w:val="17"/>
              </w:rPr>
              <w:t>8-2の注記に追加し、条例案と試算の双方でそろえることとした。適用範囲を町への確認事項に追加</w:t>
            </w:r>
          </w:p>
        </w:tc>
      </w:tr>
      <w:tr>
        <w:tc>
          <w:tcPr>
            <w:tcW w:type="dxa" w:w="2835"/>
          </w:tcPr>
          <w:p>
            <w:pPr>
              <w:spacing w:after="40"/>
              <w:jc w:val="center"/>
            </w:pPr>
            <w:r/>
            <w:r>
              <w:rPr>
                <w:rFonts w:ascii="ＭＳ 明朝" w:hAnsi="ＭＳ 明朝" w:eastAsia="ＭＳ 明朝"/>
                <w:b w:val="0"/>
                <w:sz w:val="17"/>
              </w:rPr>
              <w:t>指標の呼称の不統一</w:t>
            </w:r>
          </w:p>
        </w:tc>
        <w:tc>
          <w:tcPr>
            <w:tcW w:type="dxa" w:w="6236"/>
          </w:tcPr>
          <w:p>
            <w:pPr>
              <w:spacing w:after="40"/>
              <w:jc w:val="left"/>
            </w:pPr>
            <w:r/>
            <w:r>
              <w:rPr>
                <w:rFonts w:ascii="ＭＳ 明朝" w:hAnsi="ＭＳ 明朝" w:eastAsia="ＭＳ 明朝"/>
                <w:b w:val="0"/>
                <w:sz w:val="17"/>
              </w:rPr>
              <w:t>算定に用いていた作業用ファイルが、令和7年度の税込単価128.2円/㎥を将来の税抜給水原価で割った値を「料金回収率」として保存していた</w:t>
            </w:r>
          </w:p>
        </w:tc>
        <w:tc>
          <w:tcPr>
            <w:tcW w:type="dxa" w:w="6520"/>
          </w:tcPr>
          <w:p>
            <w:pPr>
              <w:spacing w:after="40"/>
              <w:jc w:val="left"/>
            </w:pPr>
            <w:r/>
            <w:r>
              <w:rPr>
                <w:rFonts w:ascii="ＭＳ 明朝" w:hAnsi="ＭＳ 明朝" w:eastAsia="ＭＳ 明朝"/>
                <w:b w:val="0"/>
                <w:sz w:val="17"/>
              </w:rPr>
              <w:t>供給単価を3種類（R8〜R12税抜・R7実績税込・R7実績税抜）に分けて定義し直し、回収割合の算定を税抜どうしにそろえた。旧ラベルと、母集団が接続しない合計額の出力も取り除いた</w:t>
            </w:r>
          </w:p>
        </w:tc>
      </w:tr>
    </w:tbl>
    <w:p>
      <w:pPr>
        <w:spacing w:after="80" w:line="276" w:lineRule="auto"/>
      </w:pPr>
    </w:p>
    <w:p>
      <w:pPr>
        <w:spacing w:before="200" w:after="80"/>
      </w:pPr>
      <w:r>
        <w:rPr>
          <w:rFonts w:ascii="ＭＳ ゴシック" w:hAnsi="ＭＳ ゴシック" w:eastAsia="ＭＳ ゴシック"/>
          <w:b/>
          <w:color w:val="2E75B6"/>
          <w:sz w:val="23"/>
        </w:rPr>
        <w:t>6　あわせて更新した資料</w:t>
      </w:r>
    </w:p>
    <w:tbl>
      <w:tblPr>
        <w:tblStyle w:val="TableGrid"/>
        <w:tblW w:type="auto" w:w="0"/>
        <w:jc w:val="center"/>
        <w:tblLayout w:type="fixed"/>
        <w:tblLook w:firstColumn="1" w:firstRow="1" w:lastColumn="0" w:lastRow="0" w:noHBand="0" w:noVBand="1" w:val="04A0"/>
      </w:tblPr>
      <w:tblGrid>
        <w:gridCol w:w="7569"/>
        <w:gridCol w:w="7569"/>
      </w:tblGrid>
      <w:tr>
        <w:tc>
          <w:tcPr>
            <w:tcW w:type="dxa" w:w="4535"/>
            <w:shd w:val="clear" w:fill="2E75B6"/>
          </w:tcPr>
          <w:p>
            <w:pPr>
              <w:spacing w:after="40"/>
              <w:jc w:val="center"/>
            </w:pPr>
            <w:r/>
            <w:r>
              <w:rPr>
                <w:rFonts w:ascii="ＭＳ ゴシック" w:hAnsi="ＭＳ ゴシック" w:eastAsia="ＭＳ ゴシック"/>
                <w:b/>
                <w:color w:val="FFFFFF"/>
                <w:sz w:val="18"/>
              </w:rPr>
              <w:t>資料</w:t>
            </w:r>
          </w:p>
        </w:tc>
        <w:tc>
          <w:tcPr>
            <w:tcW w:type="dxa" w:w="8277"/>
            <w:shd w:val="clear" w:fill="2E75B6"/>
          </w:tcPr>
          <w:p>
            <w:pPr>
              <w:spacing w:after="40"/>
              <w:jc w:val="center"/>
            </w:pPr>
            <w:r/>
            <w:r>
              <w:rPr>
                <w:rFonts w:ascii="ＭＳ ゴシック" w:hAnsi="ＭＳ ゴシック" w:eastAsia="ＭＳ ゴシック"/>
                <w:b/>
                <w:color w:val="FFFFFF"/>
                <w:sz w:val="18"/>
              </w:rPr>
              <w:t>更新内容</w:t>
            </w:r>
          </w:p>
        </w:tc>
      </w:tr>
      <w:tr>
        <w:tc>
          <w:tcPr>
            <w:tcW w:type="dxa" w:w="4535"/>
          </w:tcPr>
          <w:p>
            <w:pPr>
              <w:spacing w:after="40"/>
              <w:jc w:val="center"/>
            </w:pPr>
            <w:r/>
            <w:r>
              <w:rPr>
                <w:rFonts w:ascii="ＭＳ 明朝" w:hAnsi="ＭＳ 明朝" w:eastAsia="ＭＳ 明朝"/>
                <w:b/>
                <w:sz w:val="18"/>
              </w:rPr>
              <w:t>女川町水道料金改定_採用計算表.xlsx</w:t>
            </w:r>
          </w:p>
        </w:tc>
        <w:tc>
          <w:tcPr>
            <w:tcW w:type="dxa" w:w="8277"/>
          </w:tcPr>
          <w:p>
            <w:pPr>
              <w:spacing w:after="40"/>
              <w:jc w:val="left"/>
            </w:pPr>
            <w:r/>
            <w:r>
              <w:rPr>
                <w:rFonts w:ascii="ＭＳ 明朝" w:hAnsi="ＭＳ 明朝" w:eastAsia="ＭＳ 明朝"/>
                <w:b/>
                <w:sz w:val="18"/>
              </w:rPr>
              <w:t>新規作成。本文の全指標を再現する7シート。07_本文照合表で報告書の18項目と突き合わせ、全項目一致を確認</w:t>
            </w:r>
          </w:p>
        </w:tc>
      </w:tr>
      <w:tr>
        <w:tc>
          <w:tcPr>
            <w:tcW w:type="dxa" w:w="4535"/>
          </w:tcPr>
          <w:p>
            <w:pPr>
              <w:spacing w:after="40"/>
              <w:jc w:val="center"/>
            </w:pPr>
            <w:r/>
            <w:r>
              <w:rPr>
                <w:rFonts w:ascii="ＭＳ 明朝" w:hAnsi="ＭＳ 明朝" w:eastAsia="ＭＳ 明朝"/>
                <w:b w:val="0"/>
                <w:sz w:val="18"/>
              </w:rPr>
              <w:t>女川町水道料金改定_中間報告書.docx</w:t>
            </w:r>
          </w:p>
        </w:tc>
        <w:tc>
          <w:tcPr>
            <w:tcW w:type="dxa" w:w="8277"/>
          </w:tcPr>
          <w:p>
            <w:pPr>
              <w:spacing w:after="40"/>
              <w:jc w:val="left"/>
            </w:pPr>
            <w:r/>
            <w:r>
              <w:rPr>
                <w:rFonts w:ascii="ＭＳ 明朝" w:hAnsi="ＭＳ 明朝" w:eastAsia="ＭＳ 明朝"/>
                <w:b w:val="0"/>
                <w:sz w:val="18"/>
              </w:rPr>
              <w:t>第1回で全面改訂、第2回で第5章10節の新設と第11章の再構成、実施時期の統一、位置づけの明示</w:t>
            </w:r>
          </w:p>
        </w:tc>
      </w:tr>
      <w:tr>
        <w:tc>
          <w:tcPr>
            <w:tcW w:type="dxa" w:w="4535"/>
          </w:tcPr>
          <w:p>
            <w:pPr>
              <w:spacing w:after="40"/>
              <w:jc w:val="center"/>
            </w:pPr>
            <w:r/>
            <w:r>
              <w:rPr>
                <w:rFonts w:ascii="ＭＳ 明朝" w:hAnsi="ＭＳ 明朝" w:eastAsia="ＭＳ 明朝"/>
                <w:b w:val="0"/>
                <w:sz w:val="18"/>
              </w:rPr>
              <w:t>女川町水道料金改定_最終報告に向けた工程表.docx</w:t>
            </w:r>
          </w:p>
        </w:tc>
        <w:tc>
          <w:tcPr>
            <w:tcW w:type="dxa" w:w="8277"/>
          </w:tcPr>
          <w:p>
            <w:pPr>
              <w:spacing w:after="40"/>
              <w:jc w:val="left"/>
            </w:pPr>
            <w:r/>
            <w:r>
              <w:rPr>
                <w:rFonts w:ascii="ＭＳ 明朝" w:hAnsi="ＭＳ 明朝" w:eastAsia="ＭＳ 明朝"/>
                <w:b w:val="0"/>
                <w:sz w:val="18"/>
              </w:rPr>
              <w:t>必要改定率の表示を1.99〜2.45倍に修正。作業項目に減価償却費の再構築、資産維持費の再算定、水需要予測の組替え、産業用特例の方式比較、年次資金収支の作成を追加。データ取得依頼に使用者別調定明細、業務仕様書原本、出島大橋経由への送水切替を追加</w:t>
            </w:r>
          </w:p>
        </w:tc>
      </w:tr>
      <w:tr>
        <w:tc>
          <w:tcPr>
            <w:tcW w:type="dxa" w:w="4535"/>
          </w:tcPr>
          <w:p>
            <w:pPr>
              <w:spacing w:after="40"/>
              <w:jc w:val="center"/>
            </w:pPr>
            <w:r/>
            <w:r>
              <w:rPr>
                <w:rFonts w:ascii="ＭＳ 明朝" w:hAnsi="ＭＳ 明朝" w:eastAsia="ＭＳ 明朝"/>
                <w:b w:val="0"/>
                <w:sz w:val="18"/>
              </w:rPr>
              <w:t>算定の基礎データ（作業用ファイル）</w:t>
            </w:r>
          </w:p>
        </w:tc>
        <w:tc>
          <w:tcPr>
            <w:tcW w:type="dxa" w:w="8277"/>
          </w:tcPr>
          <w:p>
            <w:pPr>
              <w:spacing w:after="40"/>
              <w:jc w:val="left"/>
            </w:pPr>
            <w:r/>
            <w:r>
              <w:rPr>
                <w:rFonts w:ascii="ＭＳ 明朝" w:hAnsi="ＭＳ 明朝" w:eastAsia="ＭＳ 明朝"/>
                <w:b w:val="0"/>
                <w:sz w:val="18"/>
              </w:rPr>
              <w:t>減価償却費を2,002,979千円に修正し各パターンの水準を再計算。供給単価の定義を税区分・対象年度別に分離</w:t>
            </w:r>
          </w:p>
        </w:tc>
      </w:tr>
    </w:tbl>
    <w:p>
      <w:pPr>
        <w:spacing w:after="80" w:line="276" w:lineRule="auto"/>
      </w:pPr>
    </w:p>
    <w:p>
      <w:pPr>
        <w:spacing w:after="160" w:line="276" w:lineRule="auto"/>
      </w:pPr>
      <w:r>
        <w:rPr>
          <w:rFonts w:ascii="ＭＳ 明朝" w:hAnsi="ＭＳ 明朝" w:eastAsia="ＭＳ 明朝"/>
          <w:b w:val="0"/>
          <w:sz w:val="21"/>
        </w:rPr>
        <w:t>受け渡し用zipでは、旧版のExcelを `09_old_do_not_use/` に移し、計算根拠として使用しない旨をファイル名対応表の冒頭に記載している。</w:t>
      </w:r>
    </w:p>
    <w:p>
      <w:pPr>
        <w:spacing w:after="280" w:line="276" w:lineRule="auto"/>
      </w:pPr>
    </w:p>
    <w:p>
      <w:pPr>
        <w:jc w:val="right"/>
      </w:pPr>
      <w:r>
        <w:rPr>
          <w:rFonts w:ascii="ＭＳ 明朝" w:hAnsi="ＭＳ 明朝" w:eastAsia="ＭＳ 明朝"/>
          <w:sz w:val="21"/>
        </w:rPr>
        <w:t>以　上</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女川町水道料金改定の検討　中間報告書　指摘事項対応表（第1回・第2回）</dc:title>
  <dc:subject>令和8年度上下水道経営指標評価書作成等業務委託</dc:subject>
  <dc:creator>若山諒太</dc:creator>
  <cp:lastModifiedBy>若山諒太</cp:lastModifiedBy>
  <cp:revision>1</cp:revision>
  <dcterms:created xsi:type="dcterms:W3CDTF">2026-09-28T08:52:36Z</dcterms:created>
  <dcterms:modified xsi:type="dcterms:W3CDTF">2026-09-28T08:52:36Z</dcterms:modified>
  <cp:category>ビズアップ公共コンサルティング株式会社</cp:category>
</cp:coreProperties>
</file>