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Ver.2.17</w:t>
      </w:r>
    </w:p>
    <w:p>
      <w:pPr>
        <w:spacing w:after="80" w:before="80"/>
        <w:jc w:val="center"/>
      </w:pPr>
      <w:r>
        <w:rPr>
          <w:rFonts w:ascii="游ゴシック" w:cs="游ゴシック" w:eastAsia="游ゴシック" w:hAnsi="游ゴシック"/>
          <w:b w:val="false"/>
          <w:bCs w:val="false"/>
          <w:i/>
          <w:iCs/>
          <w:sz w:val="18"/>
          <w:szCs w:val="18"/>
        </w:rPr>
        <w:t xml:space="preserve">（中長期補完版）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2.17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交付金の評価の詳細（規模区分別の平均、3年連続で満点の指標、失点を取り戻す順序、体制・取組指標群の失点3か所の明細、成果指向型配分枠）は、別冊「詳細分析」1に掲げています。</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第2回策定委員会でご判断いただく事業の追加候補（15件）と、その見込量・費用・財源の枠組みは、別冊「詳細分析」3に掲げています。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前提を動かした場合の幅（感度分析）、所得段階の乗率の検討、予定収納率の設定は、別冊「詳細分析」2に掲げています。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