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line="300" w:lineRule="exact"/>
      </w:pPr>
      <w:r>
        <w:rPr>
          <w:rFonts w:ascii="BIZ UDPゴシック" w:cs="BIZ UDPゴシック" w:eastAsia="BIZ UDPゴシック" w:hAnsi="BIZ UDPゴシック"/>
          <w:sz w:val="21"/>
          <w:szCs w:val="21"/>
        </w:rPr>
        <w:t xml:space="preserve"/>
      </w:r>
    </w:p>
    <w:p>
      <w:pPr>
        <w:spacing w:after="160" w:line="432" w:lineRule="atLeast"/>
        <w:jc w:val="center"/>
      </w:pPr>
      <w:r>
        <w:rPr>
          <w:rFonts w:ascii="BIZ UDPゴシック" w:cs="BIZ UDPゴシック" w:eastAsia="BIZ UDPゴシック" w:hAnsi="BIZ UDPゴシック"/>
          <w:b/>
          <w:bCs/>
          <w:color w:val="1F3864"/>
          <w:sz w:val="32"/>
          <w:szCs w:val="32"/>
        </w:rPr>
        <w:t xml:space="preserve">北塩原村高齢者福祉計画・介護保険事業計画</w:t>
      </w:r>
    </w:p>
    <w:p>
      <w:pPr>
        <w:spacing w:after="700" w:line="432" w:lineRule="atLeast"/>
        <w:jc w:val="center"/>
      </w:pPr>
      <w:r>
        <w:rPr>
          <w:rFonts w:ascii="BIZ UDPゴシック" w:cs="BIZ UDPゴシック" w:eastAsia="BIZ UDPゴシック" w:hAnsi="BIZ UDPゴシック"/>
          <w:b/>
          <w:bCs/>
          <w:color w:val="1F3864"/>
          <w:sz w:val="32"/>
          <w:szCs w:val="32"/>
        </w:rPr>
        <w:t xml:space="preserve">策定委員会　参考資料</w:t>
      </w:r>
    </w:p>
    <w:p>
      <w:pPr>
        <w:spacing w:after="1600" w:line="324" w:lineRule="atLeast"/>
        <w:jc w:val="center"/>
      </w:pPr>
      <w:r>
        <w:rPr>
          <w:rFonts w:ascii="BIZ UDPゴシック" w:cs="BIZ UDPゴシック" w:eastAsia="BIZ UDPゴシック" w:hAnsi="BIZ UDPゴシック"/>
          <w:sz w:val="24"/>
          <w:szCs w:val="24"/>
        </w:rPr>
        <w:t xml:space="preserve">保険者機能強化推進交付金等の評価と第10期の目標</w:t>
      </w:r>
    </w:p>
    <w:p>
      <w:pPr>
        <w:spacing w:after="100" w:line="324" w:lineRule="atLeast"/>
        <w:jc w:val="center"/>
      </w:pPr>
      <w:r>
        <w:rPr>
          <w:rFonts w:ascii="BIZ UDPゴシック" w:cs="BIZ UDPゴシック" w:eastAsia="BIZ UDPゴシック" w:hAnsi="BIZ UDPゴシック"/>
          <w:sz w:val="24"/>
          <w:szCs w:val="24"/>
        </w:rPr>
        <w:t xml:space="preserve">参考1　いまの位置</w:t>
      </w:r>
    </w:p>
    <w:p>
      <w:pPr>
        <w:spacing w:after="100" w:line="324" w:lineRule="atLeast"/>
        <w:jc w:val="center"/>
      </w:pPr>
      <w:r>
        <w:rPr>
          <w:rFonts w:ascii="BIZ UDPゴシック" w:cs="BIZ UDPゴシック" w:eastAsia="BIZ UDPゴシック" w:hAnsi="BIZ UDPゴシック"/>
          <w:sz w:val="24"/>
          <w:szCs w:val="24"/>
        </w:rPr>
        <w:t xml:space="preserve">参考2　どこまで伸ばせるか</w:t>
      </w:r>
    </w:p>
    <w:p>
      <w:pPr>
        <w:spacing w:after="100" w:line="324" w:lineRule="atLeast"/>
        <w:jc w:val="center"/>
      </w:pPr>
      <w:r>
        <w:rPr>
          <w:rFonts w:ascii="BIZ UDPゴシック" w:cs="BIZ UDPゴシック" w:eastAsia="BIZ UDPゴシック" w:hAnsi="BIZ UDPゴシック"/>
          <w:sz w:val="24"/>
          <w:szCs w:val="24"/>
        </w:rPr>
        <w:t xml:space="preserve">参考3　取得の優先順位</w:t>
      </w:r>
    </w:p>
    <w:p>
      <w:pPr>
        <w:spacing w:after="1600" w:line="324" w:lineRule="atLeast"/>
        <w:jc w:val="center"/>
      </w:pPr>
      <w:r>
        <w:rPr>
          <w:rFonts w:ascii="BIZ UDPゴシック" w:cs="BIZ UDPゴシック" w:eastAsia="BIZ UDPゴシック" w:hAnsi="BIZ UDPゴシック"/>
          <w:sz w:val="24"/>
          <w:szCs w:val="24"/>
        </w:rPr>
        <w:t xml:space="preserve">参考4　ご判断いただきたい事項</w:t>
      </w:r>
    </w:p>
    <w:p>
      <w:pPr>
        <w:spacing w:after="120" w:line="324" w:lineRule="atLeast"/>
        <w:jc w:val="center"/>
      </w:pPr>
      <w:r>
        <w:rPr>
          <w:rFonts w:ascii="BIZ UDPゴシック" w:cs="BIZ UDPゴシック" w:eastAsia="BIZ UDPゴシック" w:hAnsi="BIZ UDPゴシック"/>
          <w:sz w:val="24"/>
          <w:szCs w:val="24"/>
        </w:rPr>
        <w:t xml:space="preserve">令和8年　月　日</w:t>
      </w:r>
    </w:p>
    <w:p>
      <w:pPr>
        <w:spacing w:after="0" w:line="378" w:lineRule="atLeast"/>
        <w:jc w:val="center"/>
      </w:pPr>
      <w:r>
        <w:rPr>
          <w:rFonts w:ascii="BIZ UDPゴシック" w:cs="BIZ UDPゴシック" w:eastAsia="BIZ UDPゴシック" w:hAnsi="BIZ UDPゴシック"/>
          <w:b/>
          <w:bCs/>
          <w:sz w:val="28"/>
          <w:szCs w:val="28"/>
        </w:rPr>
        <w:t xml:space="preserve">北塩原村</w:t>
      </w:r>
    </w:p>
    <w:p>
      <w:r>
        <w:br w:type="page"/>
      </w:r>
    </w:p>
    <w:p>
      <w:pPr>
        <w:spacing w:after="240" w:line="378" w:lineRule="atLeast"/>
      </w:pPr>
      <w:r>
        <w:rPr>
          <w:rFonts w:ascii="BIZ UDPゴシック" w:cs="BIZ UDPゴシック" w:eastAsia="BIZ UDPゴシック" w:hAnsi="BIZ UDPゴシック"/>
          <w:b/>
          <w:bCs/>
          <w:color w:val="1F3864"/>
          <w:sz w:val="28"/>
          <w:szCs w:val="28"/>
        </w:rPr>
        <w:t xml:space="preserve">本資料の見方</w:t>
      </w:r>
    </w:p>
    <w:p>
      <w:pPr>
        <w:spacing w:after="180" w:line="300" w:lineRule="exact"/>
      </w:pPr>
      <w:r>
        <w:rPr>
          <w:rFonts w:ascii="BIZ UDPゴシック" w:cs="BIZ UDPゴシック" w:eastAsia="BIZ UDPゴシック" w:hAnsi="BIZ UDPゴシック"/>
          <w:sz w:val="21"/>
          <w:szCs w:val="21"/>
        </w:rPr>
        <w:t xml:space="preserve">本資料は、第2回策定委員会資料の資料2-4（保険者機能の評価）を詳しくお示しするための参考資料です。資料2-4で第9期の振り返りとして獲得状況を示したのに対し、本資料は未取得の点の内訳と第10期の目標までを扱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表記</w:t>
            </w:r>
          </w:p>
        </w:tc>
        <w:tc>
          <w:tcPr>
            <w:tcW w:type="dxa" w:w="692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意味</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北塩原村への確認により確定する事項です。</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網掛けの囲み</w:t>
            </w:r>
          </w:p>
        </w:tc>
        <w:tc>
          <w:tcPr>
            <w:tcW w:type="dxa" w:w="692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委員の皆様にご留意いただきたい点です。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注記の囲み</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未確定の事項と、その確定の見通しです。</w:t>
            </w:r>
          </w:p>
        </w:tc>
      </w:tr>
    </w:tbl>
    <w:p>
      <w:pPr>
        <w:spacing w:after="200" w:line="300" w:lineRule="exact"/>
      </w:pPr>
      <w:r>
        <w:rPr>
          <w:rFonts w:ascii="BIZ UDPゴシック" w:cs="BIZ UDPゴシック" w:eastAsia="BIZ UDPゴシック" w:hAnsi="BIZ UDPゴシック"/>
          <w:sz w:val="21"/>
          <w:szCs w:val="21"/>
        </w:rPr>
        <w:t xml:space="preserve"/>
      </w:r>
    </w:p>
    <w:p>
      <w:pPr>
        <w:spacing w:after="180" w:line="300" w:lineRule="exact"/>
      </w:pPr>
      <w:r>
        <w:rPr>
          <w:rFonts w:ascii="BIZ UDPゴシック" w:cs="BIZ UDPゴシック" w:eastAsia="BIZ UDPゴシック" w:hAnsi="BIZ UDPゴシック"/>
          <w:sz w:val="21"/>
          <w:szCs w:val="21"/>
        </w:rPr>
        <w:t xml:space="preserve">本資料の点は令和8年度の評価指標によるものです。評価指標は毎年度改定され、第10期（令和9年度から令和11年度まで）に適用される指標は未公表です。項目の入れ替えや配点の変更があり得ます。</w:t>
      </w:r>
    </w:p>
    <w:p>
      <w:pPr>
        <w:spacing w:after="240" w:line="300" w:lineRule="exact"/>
      </w:pPr>
      <w:r>
        <w:rPr>
          <w:rFonts w:ascii="BIZ UDPゴシック" w:cs="BIZ UDPゴシック" w:eastAsia="BIZ UDPゴシック" w:hAnsi="BIZ UDPゴシック"/>
          <w:sz w:val="21"/>
          <w:szCs w:val="21"/>
        </w:rPr>
        <w:t xml:space="preserve">県内・全国の数値は集計値（団体数と平均・中央値・順位）のみを用いており、個別の団体名と得点は掲げていません。</w:t>
      </w:r>
    </w:p>
    <w:p>
      <w:r>
        <w:br w:type="page"/>
      </w:r>
    </w:p>
    <w:p>
      <w:pPr>
        <w:spacing w:after="360" w:line="432" w:lineRule="atLeast"/>
        <w:jc w:val="center"/>
      </w:pPr>
      <w:r>
        <w:rPr>
          <w:rFonts w:ascii="BIZ UDPゴシック" w:cs="BIZ UDPゴシック" w:eastAsia="BIZ UDPゴシック" w:hAnsi="BIZ UDPゴシック"/>
          <w:b/>
          <w:bCs/>
          <w:color w:val="1F3864"/>
          <w:sz w:val="32"/>
          <w:szCs w:val="32"/>
        </w:rPr>
        <w:t xml:space="preserve">目　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keepNext/>
        <w:keepLines/>
        <w:shd w:fill="1F3864" w:val="clear"/>
        <w:spacing w:after="300" w:before="0"/>
      </w:pPr>
      <w:r>
        <w:rPr>
          <w:rFonts w:ascii="BIZ UDPゴシック" w:cs="BIZ UDPゴシック" w:eastAsia="BIZ UDPゴシック" w:hAnsi="BIZ UDPゴシック"/>
          <w:b/>
          <w:bCs/>
          <w:color w:val="FFFFFF"/>
          <w:sz w:val="30"/>
          <w:szCs w:val="30"/>
        </w:rPr>
        <w:t xml:space="preserve">参考1　いまの位置</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1-1　令和8年度の獲得状況</w:t>
      </w:r>
    </w:p>
    <w:p>
      <w:pPr>
        <w:spacing w:after="120" w:line="300" w:lineRule="exact"/>
      </w:pPr>
      <w:r>
        <w:rPr>
          <w:rFonts w:ascii="BIZ UDPゴシック" w:cs="BIZ UDPゴシック" w:eastAsia="BIZ UDPゴシック" w:hAnsi="BIZ UDPゴシック"/>
          <w:sz w:val="21"/>
          <w:szCs w:val="21"/>
        </w:rPr>
        <w:t xml:space="preserve">国は、保険者機能強化推進交付金および介護保険保険者努力支援交付金の評価指標により、市町村の取組を毎年度評価しています。両交付金の合計は800点満点です。本村の令和8年度の得点は447点で、得点率は55.9%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030"/>
        <w:gridCol w:w="1030"/>
        <w:gridCol w:w="1310"/>
        <w:gridCol w:w="1498"/>
        <w:gridCol w:w="1310"/>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03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w:t>
            </w:r>
          </w:p>
        </w:tc>
        <w:tc>
          <w:tcPr>
            <w:tcW w:type="dxa" w:w="103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満点</w:t>
            </w:r>
          </w:p>
        </w:tc>
        <w:tc>
          <w:tcPr>
            <w:tcW w:type="dxa" w:w="131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全国平均</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全国順位</w:t>
            </w:r>
          </w:p>
        </w:tc>
        <w:tc>
          <w:tcPr>
            <w:tcW w:type="dxa" w:w="131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230.1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介護保険保険者努力支援交付金</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218</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400</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225.0</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447</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1,005位／1,741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34位／59</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出どころ：令和8年度保険者機能強化推進交付金及び介護保険保険者努力支援交付金に係る該当状況調査票集計表（市町村分・厚生労働省）。全国1,741団体・福島県内59市町村の集計である。評価の対象は令和7年度に実施した取組である。</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3か年の推移</w:t>
      </w:r>
    </w:p>
    <w:p>
      <w:pPr>
        <w:spacing w:after="120" w:line="300" w:lineRule="exact"/>
      </w:pPr>
      <w:r>
        <w:rPr>
          <w:rFonts w:ascii="BIZ UDPゴシック" w:cs="BIZ UDPゴシック" w:eastAsia="BIZ UDPゴシック" w:hAnsi="BIZ UDPゴシック"/>
          <w:sz w:val="21"/>
          <w:szCs w:val="21"/>
        </w:rPr>
        <w:t xml:space="preserve">令和8年度の評価指標は299項目に分かれており、このうち3か年とも指標がある284項目について、令和6年度から令和8年度までの動きを得点率（得点÷その年度の配点）で分けると次のとおりです。令和7年度・令和8年度の新設等により3か年がそろわない15項目は別に掲げ、合計が令和8年度の得点447点に一致するように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1498"/>
        <w:gridCol w:w="4305"/>
      </w:tblGrid>
      <w:tr>
        <w:trPr>
          <w:cantSplit/>
          <w:tblHeader/>
        </w:trPr>
        <w:tc>
          <w:tcPr>
            <w:tcW w:type="dxa" w:w="355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項目数</w:t>
            </w:r>
          </w:p>
        </w:tc>
        <w:tc>
          <w:tcPr>
            <w:tcW w:type="dxa" w:w="430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令和8年度の得点計</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改善した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105項目</w:t>
            </w:r>
          </w:p>
        </w:tc>
        <w:tc>
          <w:tcPr>
            <w:tcW w:type="dxa" w:w="43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285点</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下がった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23項目</w:t>
            </w:r>
          </w:p>
        </w:tc>
        <w:tc>
          <w:tcPr>
            <w:tcW w:type="dxa" w:w="43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満点で維持している</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50項目</w:t>
            </w:r>
          </w:p>
        </w:tc>
        <w:tc>
          <w:tcPr>
            <w:tcW w:type="dxa" w:w="43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146点</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3年続けて0点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106項目</w:t>
            </w:r>
          </w:p>
        </w:tc>
        <w:tc>
          <w:tcPr>
            <w:tcW w:type="dxa" w:w="43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w:t>
            </w:r>
          </w:p>
        </w:tc>
      </w:tr>
      <w:tr>
        <w:trPr>
          <w:cantSplit/>
        </w:trPr>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3か年そろわない項目（令和7・8年度の新設等）</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15項目</w:t>
            </w:r>
          </w:p>
        </w:tc>
        <w:tc>
          <w:tcPr>
            <w:tcW w:type="dxa" w:w="430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16点</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299項目</w:t>
            </w:r>
          </w:p>
        </w:tc>
        <w:tc>
          <w:tcPr>
            <w:tcW w:type="dxa" w:w="43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447点</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満点を維持している50項目146点が、本村の到達点です。一方、106項目は3年続けて0点のままです。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国の配点は年度ごとに変わる。素点（得点そのもの）で比べると、配点が2点から1点に下がって満点を取り続けている項目が「下がった」に入ってしまう。本表は得点率で比べているため、そうした項目は「満点で維持している」に入る。</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1-2　条件の近い団体と比べる</w:t>
      </w:r>
    </w:p>
    <w:p>
      <w:pPr>
        <w:spacing w:after="120" w:line="300" w:lineRule="exact"/>
      </w:pPr>
      <w:r>
        <w:rPr>
          <w:rFonts w:ascii="BIZ UDPゴシック" w:cs="BIZ UDPゴシック" w:eastAsia="BIZ UDPゴシック" w:hAnsi="BIZ UDPゴシック"/>
          <w:sz w:val="21"/>
          <w:szCs w:val="21"/>
        </w:rPr>
        <w:t xml:space="preserve">得点は保険者の規模と強く相関します。全国1,741団体を第1号被保険者数の区分で分けると、3千人未満の区分が平均407.6点である一方、10万人以上の区分は527.8点です。本村は第1号被保険者1,011人で「3千人未満」の区分にあたり、過疎地域にも該当します。全国平均との比較だけでは本村の位置を低く見せることになるため、条件の近い団体の平均もお示し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1498"/>
        <w:gridCol w:w="1685"/>
        <w:gridCol w:w="2620"/>
      </w:tblGrid>
      <w:tr>
        <w:trPr>
          <w:cantSplit/>
          <w:tblHeader/>
        </w:trPr>
        <w:tc>
          <w:tcPr>
            <w:tcW w:type="dxa" w:w="355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比較の相手</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団体数</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平均</w:t>
            </w:r>
          </w:p>
        </w:tc>
        <w:tc>
          <w:tcPr>
            <w:tcW w:type="dxa" w:w="262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本村447点との差</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1,741団体</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455.1点</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▲8.1点</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過疎地域に該当する団体</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885団体</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437.4点</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＋9.6点</w:t>
            </w:r>
          </w:p>
        </w:tc>
      </w:tr>
      <w:tr>
        <w:trPr>
          <w:cantSplit/>
        </w:trPr>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同規模（3千人未満）</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451団体</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407.6点</w:t>
            </w:r>
          </w:p>
        </w:tc>
        <w:tc>
          <w:tcPr>
            <w:tcW w:type="dxa" w:w="262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＋39.4点</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同規模かつ過疎地域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355団体</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406.9点</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＋40.1点</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全国平均と比べると8.1点下回りますが、同規模の団体の平均とは39.4点、同規模かつ過疎地域の団体の平均とは40.1点上回ります。本村の取組の水準は、条件の近い団体の中では高い位置にあります。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2246"/>
        <w:gridCol w:w="2996"/>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第1号被保険者数の区分</w:t>
            </w:r>
          </w:p>
        </w:tc>
        <w:tc>
          <w:tcPr>
            <w:tcW w:type="dxa" w:w="224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団体数</w:t>
            </w:r>
          </w:p>
        </w:tc>
        <w:tc>
          <w:tcPr>
            <w:tcW w:type="dxa" w:w="299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平均</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3千人未満</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451団体</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407.6点</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3千〜1万人未満</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535団体</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448.8点</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1万〜5万人未満</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608団体</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481.1点</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5万〜10万人未満</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83団体</w:t>
            </w:r>
          </w:p>
        </w:tc>
        <w:tc>
          <w:tcPr>
            <w:tcW w:type="dxa" w:w="299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508.0点</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10万人以上</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64団体</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527.8点</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区分・過疎地域該当は該当状況調査票集計表（市町村分）の列による（区分は令和7年3月31日現在の第1号被保険者数、過疎地域該当は一部過疎を含む令和5年4月1日時点）。示しているのは団体数と平均という集計値のみである。</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1-3　目標別の得点</w:t>
      </w:r>
    </w:p>
    <w:p>
      <w:pPr>
        <w:spacing w:after="120" w:line="300" w:lineRule="exact"/>
      </w:pPr>
      <w:r>
        <w:rPr>
          <w:rFonts w:ascii="BIZ UDPゴシック" w:cs="BIZ UDPゴシック" w:eastAsia="BIZ UDPゴシック" w:hAnsi="BIZ UDPゴシック"/>
          <w:sz w:val="21"/>
          <w:szCs w:val="21"/>
        </w:rPr>
        <w:t xml:space="preserve">推進・支援それぞれに4つの目標があり、いずれも100点満点です。目標ごとに県内の位置を示します。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3744"/>
        <w:gridCol w:w="936"/>
        <w:gridCol w:w="1123"/>
        <w:gridCol w:w="1123"/>
        <w:gridCol w:w="1685"/>
      </w:tblGrid>
      <w:tr>
        <w:trPr>
          <w:cantSplit/>
          <w:tblHeader/>
        </w:trPr>
        <w:tc>
          <w:tcPr>
            <w:tcW w:type="dxa" w:w="74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w:t>
            </w:r>
          </w:p>
        </w:tc>
        <w:tc>
          <w:tcPr>
            <w:tcW w:type="dxa" w:w="374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目標名</w:t>
            </w:r>
          </w:p>
        </w:tc>
        <w:tc>
          <w:tcPr>
            <w:tcW w:type="dxa" w:w="93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県平均</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県中央値</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推目標Ⅰ</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持続可能な地域のあるべき姿をかたちにする</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7位／59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推目標Ⅱ</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公正・公平な給付を行う体制を構築する</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42位／59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推目標Ⅲ</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介護人材の確保その他のサービス提供基盤の整備を推進する</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31位／59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推目標Ⅳ</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高齢者が可能な限り自立した日常生活を営む（成果指標群）</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30位／59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支目標Ⅰ</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介護予防／日常生活支援を推進する</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17位／59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支目標Ⅱ</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認知症総合支援を推進する</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57位／59</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支目標Ⅲ</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在宅医療・在宅介護連携の体制を構築する</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64.7</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64</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24位／59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支目標Ⅳ</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高齢者が可能な限り自立した日常生活を営む（成果指標群）</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30位／59</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県中央値に届いていないのは支援の目標Ⅱ（認知症総合支援）と推進の目標Ⅱ（給付適正化）の2つで、ほかの6目標は中央値と同等かこれを上回ります。未取得の点もこの2目標に集まっています。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目標Ⅳ（成果指標群）は推進交付金・介護保険保険者努力支援交付金に同一の指標が置かれており、得点も同じである。片方が動けばもう片方も同じだけ動く。</w:t>
      </w:r>
    </w:p>
    <w:p>
      <w:r>
        <w:br w:type="page"/>
      </w:r>
    </w:p>
    <w:p>
      <w:pPr>
        <w:pStyle w:val="Heading1"/>
        <w:keepNext/>
        <w:keepLines/>
        <w:shd w:fill="1F3864" w:val="clear"/>
        <w:spacing w:after="300" w:before="0"/>
      </w:pPr>
      <w:r>
        <w:rPr>
          <w:rFonts w:ascii="BIZ UDPゴシック" w:cs="BIZ UDPゴシック" w:eastAsia="BIZ UDPゴシック" w:hAnsi="BIZ UDPゴシック"/>
          <w:b/>
          <w:bCs/>
          <w:color w:val="FFFFFF"/>
          <w:sz w:val="30"/>
          <w:szCs w:val="30"/>
        </w:rPr>
        <w:t xml:space="preserve">参考2　どこまで伸ばせるか</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2-1　伸びしろは353点</w:t>
      </w:r>
    </w:p>
    <w:p>
      <w:pPr>
        <w:spacing w:after="120" w:line="300" w:lineRule="exact"/>
      </w:pPr>
      <w:r>
        <w:rPr>
          <w:rFonts w:ascii="BIZ UDPゴシック" w:cs="BIZ UDPゴシック" w:eastAsia="BIZ UDPゴシック" w:hAnsi="BIZ UDPゴシック"/>
          <w:sz w:val="21"/>
          <w:szCs w:val="21"/>
        </w:rPr>
        <w:t xml:space="preserve">未取得の項目の配点を合計すると139項目482点になりますが、これは見かけの数です。評価指標の枝の配点を足し上げると929点になる一方、制度の満点は800点です。成果指標群のア／イなどは択一（より上位となった方で得点）であり、両方を足すと二重に数えることになります。本村が実際に伸ばせるのは800点との差353点まで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29"/>
        <w:gridCol w:w="3931"/>
      </w:tblGrid>
      <w:tr>
        <w:trPr>
          <w:cantSplit/>
          <w:tblHeader/>
        </w:trPr>
        <w:tc>
          <w:tcPr>
            <w:tcW w:type="dxa" w:w="542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393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点</w:t>
            </w:r>
          </w:p>
        </w:tc>
      </w:tr>
      <w:tr>
        <w:trPr>
          <w:cantSplit/>
        </w:trPr>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評価指標の枝の配点の合計（見かけ）</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929点</w:t>
            </w:r>
          </w:p>
        </w:tc>
      </w:tr>
      <w:tr>
        <w:trPr>
          <w:cantSplit/>
        </w:trPr>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制度の満点</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800点</w:t>
            </w:r>
          </w:p>
        </w:tc>
      </w:tr>
      <w:tr>
        <w:trPr>
          <w:cantSplit/>
        </w:trPr>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差（択一の枝を二重に数えたぶん）</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129点</w:t>
            </w:r>
          </w:p>
        </w:tc>
      </w:tr>
      <w:tr>
        <w:trPr>
          <w:cantSplit/>
        </w:trPr>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うち推目標Ⅳ</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60点</w:t>
            </w:r>
          </w:p>
        </w:tc>
      </w:tr>
      <w:tr>
        <w:trPr>
          <w:cantSplit/>
        </w:trPr>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うち支目標Ⅰ</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9点</w:t>
            </w:r>
          </w:p>
        </w:tc>
      </w:tr>
      <w:tr>
        <w:trPr>
          <w:cantSplit/>
        </w:trPr>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うち支目標Ⅳ</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60点</w:t>
            </w:r>
          </w:p>
        </w:tc>
      </w:tr>
      <w:tr>
        <w:trPr>
          <w:cantSplit/>
        </w:trPr>
        <w:tc>
          <w:tcPr>
            <w:tcW w:type="dxa" w:w="542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本村の得点</w:t>
            </w:r>
          </w:p>
        </w:tc>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447点</w:t>
            </w:r>
          </w:p>
        </w:tc>
      </w:tr>
      <w:tr>
        <w:trPr>
          <w:cantSplit/>
        </w:trPr>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実際に伸ばせる点</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353点</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2E75B6"/>
          <w:sz w:val="22"/>
          <w:szCs w:val="22"/>
        </w:rPr>
        <w:t xml:space="preserve">取得の見込みで5つに分ける</w:t>
      </w:r>
    </w:p>
    <w:p>
      <w:pPr>
        <w:spacing w:after="120" w:line="300" w:lineRule="exact"/>
      </w:pPr>
      <w:r>
        <w:rPr>
          <w:rFonts w:ascii="BIZ UDPゴシック" w:cs="BIZ UDPゴシック" w:eastAsia="BIZ UDPゴシック" w:hAnsi="BIZ UDPゴシック"/>
          <w:sz w:val="21"/>
          <w:szCs w:val="21"/>
        </w:rPr>
        <w:t xml:space="preserve">未取得の項目を、本村で対応できるかどうかにより5つに分けました。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059"/>
        <w:gridCol w:w="1498"/>
        <w:gridCol w:w="1685"/>
        <w:gridCol w:w="1498"/>
        <w:gridCol w:w="2058"/>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項目数</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重複を除く</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見かけ</w:t>
            </w:r>
          </w:p>
        </w:tc>
        <w:tc>
          <w:tcPr>
            <w:tcW w:type="dxa" w:w="205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実際に伸ばせる</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記載で取れる</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11項目</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11項目</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62点</w:t>
            </w:r>
          </w:p>
        </w:tc>
        <w:tc>
          <w:tcPr>
            <w:tcW w:type="dxa" w:w="205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Ｂ</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本業務で取れる</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3項目</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3項目</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9点</w:t>
            </w:r>
          </w:p>
        </w:tc>
        <w:tc>
          <w:tcPr>
            <w:tcW w:type="dxa" w:w="205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Ｃ</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事業の実施が前提</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15項目</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15項目</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39点</w:t>
            </w:r>
          </w:p>
        </w:tc>
        <w:tc>
          <w:tcPr>
            <w:tcW w:type="dxa" w:w="205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39点</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Ｄ</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取れない</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47項目</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24項目</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233点</w:t>
            </w:r>
          </w:p>
        </w:tc>
        <w:tc>
          <w:tcPr>
            <w:tcW w:type="dxa" w:w="205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113点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Ｅ</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未判定</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63項目</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63項目</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139点</w:t>
            </w:r>
          </w:p>
        </w:tc>
        <w:tc>
          <w:tcPr>
            <w:tcW w:type="dxa" w:w="205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130点</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計画への記載・要綱の整備・手順の明文化と、それに沿った実施・記録で取得をめざせるのが11項目62点です。本業務（ニーズ調査・在宅介護実態調査・見える化分析・認知症施策推進計画の策定）の実施で取得できるのが3項目9点です。この2つは本計画の策定により取得でき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重複を除く」は、目標Ⅳ（成果指標群）が推進交付金と介護保険保険者努力支援交付金で同一の指標であり、集計表に2度現れることによる。点は両交付金で別に支払われるため足して正しいが、取り組む対象の数としては1つである。</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2-2　計画への記載で取得をめざす12項目67点</w:t>
      </w:r>
    </w:p>
    <w:p>
      <w:pPr>
        <w:spacing w:after="120" w:line="300" w:lineRule="exact"/>
      </w:pPr>
      <w:r>
        <w:rPr>
          <w:rFonts w:ascii="BIZ UDPゴシック" w:cs="BIZ UDPゴシック" w:eastAsia="BIZ UDPゴシック" w:hAnsi="BIZ UDPゴシック"/>
          <w:sz w:val="21"/>
          <w:szCs w:val="21"/>
        </w:rPr>
        <w:t xml:space="preserve">令和8年度の評価で0点であり、かつ全国の45%以上の市町村が取得している項目は32項目122点あります。このうち、新たな施設や大きな予算を要さず、本計画への記載・要綱の整備・手順の明文化により取得できるものが11項目62点です。これに、本計画が認知症施策推進計画を兼ねることにより取得できる5点を加えた12項目67点の取得を、第10期の目標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842"/>
        <w:gridCol w:w="1123"/>
        <w:gridCol w:w="1030"/>
        <w:gridCol w:w="2247"/>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交付金・指標</w:t>
            </w:r>
          </w:p>
        </w:tc>
        <w:tc>
          <w:tcPr>
            <w:tcW w:type="dxa" w:w="84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全国該当率</w:t>
            </w:r>
          </w:p>
        </w:tc>
        <w:tc>
          <w:tcPr>
            <w:tcW w:type="dxa" w:w="103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c>
          <w:tcPr>
            <w:tcW w:type="dxa" w:w="224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本計画での対応</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認知症施策推進計画の策定に着手（意見を反映させる仕組み）</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成年後見制度利用支援事業の要綱（対象を限定しない）</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施策4-7</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難聴高齢者の早期発見・早期介入（普及啓発）</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難聴高齢者の早期発見・早期介入（早期発見）</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施策4-4・施策1-6</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4つの場面ごとの目指すべき姿の設定</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課題を踏まえた目標の設定と対応策の立案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相談内容の取りまとめと関係者間での共有</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ケアプラン点検への村外施設入居者分の追加</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福祉用具貸与後のリハビリテーション専門職等による点検</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福祉用具購入費・住宅改修費の妥当性の検討</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介護給付適正化の主要3事業の全実施</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推進Ⅲ 介護人材の確保・定着の取組の成果の公表</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58.2%</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27位</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施策4-6</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2E75B6"/>
          <w:sz w:val="22"/>
          <w:szCs w:val="22"/>
        </w:rPr>
        <w:t xml:space="preserve">取得に必要なことで分ける</w:t>
      </w:r>
    </w:p>
    <w:p>
      <w:pPr>
        <w:spacing w:after="120" w:line="300" w:lineRule="exact"/>
      </w:pPr>
      <w:r>
        <w:rPr>
          <w:rFonts w:ascii="BIZ UDPゴシック" w:cs="BIZ UDPゴシック" w:eastAsia="BIZ UDPゴシック" w:hAnsi="BIZ UDPゴシック"/>
          <w:sz w:val="21"/>
          <w:szCs w:val="21"/>
        </w:rPr>
        <w:t xml:space="preserve">上表の項目は、計画に書くだけで点になるものではありません。評価の対象は前年度に実施した取組であり、取組の実施と、それを示す記録（証跡）が要ります。令和8年度の時点の状態により、次の4つに分け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1123"/>
        <w:gridCol w:w="4680"/>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項目数</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468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必要なこと</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取得済み・証跡あり</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0項目</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―（目標の項目はいずれも令和8年度に0点）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実施済み・証跡要確認</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4項目</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21点</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令和6・7年度に点があった項目。実施の状況と記録を確かめ、記録の形を整える</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新規整備が必要</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8項目</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46点</w:t>
            </w:r>
          </w:p>
        </w:tc>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要綱の改正・目標の設定・公表・普及啓発等を新たに行い、記録を残す（認知症施策推進計画の策定5点を含む）</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制度改正待ち</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0項目</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―（ただし第10期に適用される評価指標は未公表であり、全項目が改定の影響を受け得る）</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令和6・7年度に点があり令和8年度に0点となった4項目21点は、取組が続いていれば記録の整え方で取り戻せる可能性があります。まず実施の状況と記録の有無を確かめます（【要確認】）。新たに整える8項目46点は、令和9年度に実施して記録を残し、令和10年度の評価で取得することになります。</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67点を取得すると、令和8年度の447点は514点となります。全国平均455.1点を58.9点上回り、全国順位は1,741団体中1,005位から491位、福島県内順位は59市町村中34位から17位になります。</w:t>
      </w:r>
    </w:p>
    <w:p>
      <w:pPr>
        <w:spacing w:after="120" w:line="300" w:lineRule="exact"/>
      </w:pPr>
      <w:r>
        <w:rPr>
          <w:rFonts w:ascii="BIZ UDPゴシック" w:cs="BIZ UDPゴシック" w:eastAsia="BIZ UDPゴシック" w:hAnsi="BIZ UDPゴシック"/>
          <w:sz w:val="21"/>
          <w:szCs w:val="21"/>
        </w:rPr>
        <w:t xml:space="preserve">本業務の実施で取得できる4点を含めると518点です。条件付きで取得できる33点は事業の実施を伴うため、施策1-2（総合事業の多様なサービス）・施策4-4（認知症施策）のご判断と一体で決まります。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上の順位は機械的な試算であり、ほかの団体が令和8年度の得点のままであると仮定して並べ替えた場合の位置である。全国平均は令和6年度422.4点・令和7年度435.0点・令和8年度455.1点と2年で32.7点上がっており、本村が横ばいであれば順位は下がる。順位は目安として見ていただきたい。</w:t>
      </w:r>
    </w:p>
    <w:p>
      <w:r>
        <w:br w:type="page"/>
      </w:r>
    </w:p>
    <w:p>
      <w:pPr>
        <w:pStyle w:val="Heading1"/>
        <w:keepNext/>
        <w:keepLines/>
        <w:shd w:fill="1F3864" w:val="clear"/>
        <w:spacing w:after="300" w:before="0"/>
      </w:pPr>
      <w:r>
        <w:rPr>
          <w:rFonts w:ascii="BIZ UDPゴシック" w:cs="BIZ UDPゴシック" w:eastAsia="BIZ UDPゴシック" w:hAnsi="BIZ UDPゴシック"/>
          <w:b/>
          <w:bCs/>
          <w:color w:val="FFFFFF"/>
          <w:sz w:val="30"/>
          <w:szCs w:val="30"/>
        </w:rPr>
        <w:t xml:space="preserve">参考3　取得の優先順位</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3-1　期待得点の大きい順</w:t>
      </w:r>
    </w:p>
    <w:p>
      <w:pPr>
        <w:spacing w:after="120" w:line="300" w:lineRule="exact"/>
      </w:pPr>
      <w:r>
        <w:rPr>
          <w:rFonts w:ascii="BIZ UDPゴシック" w:cs="BIZ UDPゴシック" w:eastAsia="BIZ UDPゴシック" w:hAnsi="BIZ UDPゴシック"/>
          <w:sz w:val="21"/>
          <w:szCs w:val="21"/>
        </w:rPr>
        <w:t xml:space="preserve">段Ａ・Ｂ・Ｃの29項目を、期待得点（配点に取得の確からしさを掛けたもの。段Ａ・Ｂは1.0、段Ｃは0.5）の大きい順に並べました。県内で取得している団体の数を併記しています。県内で多くの団体が取得している項目は、取りやすく、取れていないことの説明もつきにくい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468"/>
        <w:gridCol w:w="655"/>
        <w:gridCol w:w="4399"/>
        <w:gridCol w:w="842"/>
        <w:gridCol w:w="842"/>
        <w:gridCol w:w="1686"/>
      </w:tblGrid>
      <w:tr>
        <w:trPr>
          <w:cantSplit/>
          <w:tblHeader/>
        </w:trPr>
        <w:tc>
          <w:tcPr>
            <w:tcW w:type="dxa" w:w="46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順</w:t>
            </w:r>
          </w:p>
        </w:tc>
        <w:tc>
          <w:tcPr>
            <w:tcW w:type="dxa" w:w="46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w:t>
            </w:r>
          </w:p>
        </w:tc>
        <w:tc>
          <w:tcPr>
            <w:tcW w:type="dxa" w:w="65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w:t>
            </w:r>
          </w:p>
        </w:tc>
        <w:tc>
          <w:tcPr>
            <w:tcW w:type="dxa" w:w="439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84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84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期待</w:t>
            </w:r>
          </w:p>
        </w:tc>
        <w:tc>
          <w:tcPr>
            <w:tcW w:type="dxa" w:w="168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県内で取得</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給付費適正化事業の取組状況 / オ</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給付費適正化事業の取組状況 / 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給付費適正化事業の取組状況 / ウ</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給付費適正化事業の取組状況 / ア</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推Ⅲ</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介護人材の確保・定着の取組状況 / 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 / 難聴高齢者の早期発見・早期介入 / ア</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 / 難聴高齢者の早期発見・早期介入 / イ</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支Ⅲ</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在宅医療・介護連携に関する課題・対応策の検討 / ア</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支Ⅲ</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在宅医療・介護連携に関する課題・対応策の検討 / 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Ｂ</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認知症サポーター等を活用した地域支援体制の構築 / カ</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認知症サポーター等を活用した地域支援体制の構築 / イ</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Ｃ</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推Ⅲ</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庁内・庁外における連携体制 / 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Ｃ</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推Ⅲ</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庁内・庁外における連携体制 / オ</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Ｃ</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早期診断・早期対応の体制構築 / 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Ｂ</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支Ⅰ</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データを活用した課題の把握 / ウ</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Ｂ</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支Ⅰ</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データを活用した課題の把握 / 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支Ⅲ</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在宅医療・介護連携の具体的取組状況 / イ / ②</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Ｃ</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認知症サポーター数 / ア</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37／59</w:t>
            </w:r>
          </w:p>
        </w:tc>
      </w:tr>
      <w:tr>
        <w:trPr>
          <w:cantSplit/>
        </w:trPr>
        <w:tc>
          <w:tcPr>
            <w:tcW w:type="dxa" w:w="46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46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Ｃ</w:t>
            </w:r>
          </w:p>
        </w:tc>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439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 / 認知症サポーター数 / イ</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3点</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168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Ｃ</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 / 認知症地域支援推進員の業務の状況 / ウ</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20／59</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上位20項目を掲げている。全29項目の一覧は成果品15（交付金の獲得状況と優先順位）による。</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3-2　判定を急ぐ項目</w:t>
      </w:r>
    </w:p>
    <w:p>
      <w:pPr>
        <w:spacing w:after="120" w:line="300" w:lineRule="exact"/>
      </w:pPr>
      <w:r>
        <w:rPr>
          <w:rFonts w:ascii="BIZ UDPゴシック" w:cs="BIZ UDPゴシック" w:eastAsia="BIZ UDPゴシック" w:hAnsi="BIZ UDPゴシック"/>
          <w:sz w:val="21"/>
          <w:szCs w:val="21"/>
        </w:rPr>
        <w:t xml:space="preserve">判定が済んでいない項目のうち、県内で多くの団体が取得しているのに本村が0点のものは、第10期の施策を固める前に判定を済ませる必要があります。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5054"/>
        <w:gridCol w:w="1123"/>
        <w:gridCol w:w="2434"/>
      </w:tblGrid>
      <w:tr>
        <w:trPr>
          <w:cantSplit/>
          <w:tblHeader/>
        </w:trPr>
        <w:tc>
          <w:tcPr>
            <w:tcW w:type="dxa" w:w="74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w:t>
            </w:r>
          </w:p>
        </w:tc>
        <w:tc>
          <w:tcPr>
            <w:tcW w:type="dxa" w:w="505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県内で取得</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支Ⅰ</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 / 心身・認知機能維持・改善者の割合 / イ</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1点</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支Ⅰ</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 / 心身・認知機能維持・改善者の割合 / ウ</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1点</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支Ⅰ</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 / ポイント事業への参加率 / イ</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1点</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支Ⅰ</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 / 多様なサービスの活用推進 / カ</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2点</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推Ⅰ</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今年度の評価点 / ウ</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3点</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推Ⅱ</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ケアプラン点検の実施状況 / ウ</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4点</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16／59</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505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 / 認知症サポーターステップアップ講座修了者数 / ア</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3点</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16／59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支Ⅲ</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人生の最終段階における支援の実施状況 / ア / ③</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2点</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16／59</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段Ｅ（判定が済んでいない）は63項目139点である。全国の45%未満の市町村しか取得していない項目が主であり、個別の判定をしていない。上表はそのうち県内の取得団体数が多いものである。</w:t>
      </w:r>
    </w:p>
    <w:p>
      <w:r>
        <w:br w:type="page"/>
      </w:r>
    </w:p>
    <w:p>
      <w:pPr>
        <w:pStyle w:val="Heading1"/>
        <w:keepNext/>
        <w:keepLines/>
        <w:shd w:fill="1F3864" w:val="clear"/>
        <w:spacing w:after="300" w:before="0"/>
      </w:pPr>
      <w:r>
        <w:rPr>
          <w:rFonts w:ascii="BIZ UDPゴシック" w:cs="BIZ UDPゴシック" w:eastAsia="BIZ UDPゴシック" w:hAnsi="BIZ UDPゴシック"/>
          <w:b/>
          <w:bCs/>
          <w:color w:val="FFFFFF"/>
          <w:sz w:val="30"/>
          <w:szCs w:val="30"/>
        </w:rPr>
        <w:t xml:space="preserve">参考4　ご判断いただきたい事項</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4-1　本資料でお諮りする事項</w:t>
      </w:r>
    </w:p>
    <w:p>
      <w:pPr>
        <w:spacing w:after="120" w:line="300" w:lineRule="exact"/>
      </w:pPr>
      <w:r>
        <w:rPr>
          <w:rFonts w:ascii="BIZ UDPゴシック" w:cs="BIZ UDPゴシック" w:eastAsia="BIZ UDPゴシック" w:hAnsi="BIZ UDPゴシック"/>
          <w:sz w:val="21"/>
          <w:szCs w:val="21"/>
        </w:rPr>
        <w:t xml:space="preserve">交付金の取得は、それ自体が目的ではありません。評価指標は国が市町村に求める取組を点にしたものであり、取得をめざすことは本村の高齢者福祉の水準を上げることと重なります。そのうえで、次の2点についてご意見をいただきたく存じ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4399"/>
        <w:gridCol w:w="4493"/>
      </w:tblGrid>
      <w:tr>
        <w:trPr>
          <w:cantSplit/>
          <w:tblHeader/>
        </w:trPr>
        <w:tc>
          <w:tcPr>
            <w:tcW w:type="dxa" w:w="46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439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お諮りする事項</w:t>
            </w:r>
          </w:p>
        </w:tc>
        <w:tc>
          <w:tcPr>
            <w:tcW w:type="dxa" w:w="449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当方の案</w:t>
            </w:r>
          </w:p>
        </w:tc>
      </w:tr>
      <w:tr>
        <w:trPr>
          <w:cantSplit/>
        </w:trPr>
        <w:tc>
          <w:tcPr>
            <w:tcW w:type="dxa" w:w="46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439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計画への記載で取得をめざす12項目67点を、第10期の目標として掲げること</w:t>
            </w:r>
          </w:p>
        </w:tc>
        <w:tc>
          <w:tcPr>
            <w:tcW w:type="dxa" w:w="449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掲げる。6-3に取得目標の一覧を置き、6-4で毎年度の取得状況を検証する</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条件付きで取得できる33点について、事業の実施まで踏み込むかどうか</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施策1-2（総合事業の多様なサービス）と施策4-4（認知症施策）は取組を書き、実績の水準は村のご判断を待つ</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段Ａ（計画への記載で取得をめざす11項目62点）は、本計画に書いたうえで、令和9年度に実施し記録を残すことで取得できます。書くだけでは点になりません。第2回策定委員会でご承認をいただければ、素案6-3の取得目標として確定し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4-2　留意すること</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評価指標は毎年度改定される</w:t>
      </w:r>
    </w:p>
    <w:p>
      <w:pPr>
        <w:spacing w:after="120" w:line="300" w:lineRule="exact"/>
      </w:pPr>
      <w:r>
        <w:rPr>
          <w:rFonts w:ascii="BIZ UDPゴシック" w:cs="BIZ UDPゴシック" w:eastAsia="BIZ UDPゴシック" w:hAnsi="BIZ UDPゴシック"/>
          <w:sz w:val="21"/>
          <w:szCs w:val="21"/>
        </w:rPr>
        <w:t xml:space="preserve">本資料の点は令和8年度の評価指標によるものです。第10期（令和9年度から令和11年度まで）に適用される指標は未公表であり、項目の入れ替えや配点の変更があり得ます（令和4年度にあった「文書負担軽減に係る取組」は令和6年度以降の指標から外れてい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全国平均が上がり続けている</w:t>
      </w:r>
    </w:p>
    <w:p>
      <w:pPr>
        <w:spacing w:after="120" w:line="300" w:lineRule="exact"/>
      </w:pPr>
      <w:r>
        <w:rPr>
          <w:rFonts w:ascii="BIZ UDPゴシック" w:cs="BIZ UDPゴシック" w:eastAsia="BIZ UDPゴシック" w:hAnsi="BIZ UDPゴシック"/>
          <w:sz w:val="21"/>
          <w:szCs w:val="21"/>
        </w:rPr>
        <w:t xml:space="preserve">全国平均は令和6年度422.4点・令和7年度435.0点・令和8年度455.1点と、2年で32.7点上がっています。本村が横ばいであれば順位は下がります。本資料の順位は、ほかの団体が令和8年度の得点のままであると仮定した場合の目安で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交付額は得点だけで決まらない</w:t>
      </w:r>
    </w:p>
    <w:p>
      <w:pPr>
        <w:spacing w:after="120" w:line="300" w:lineRule="exact"/>
      </w:pPr>
      <w:r>
        <w:rPr>
          <w:rFonts w:ascii="BIZ UDPゴシック" w:cs="BIZ UDPゴシック" w:eastAsia="BIZ UDPゴシック" w:hAnsi="BIZ UDPゴシック"/>
          <w:sz w:val="21"/>
          <w:szCs w:val="21"/>
        </w:rPr>
        <w:t xml:space="preserve">交付額は、得点に第1号被保険者数等を乗じて国が配分します。配分の総額やほかの団体の得点によっても変わるため、本資料は得点までをお示ししています。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本資料の番号</w:t>
      </w:r>
    </w:p>
    <w:p>
      <w:pPr>
        <w:spacing w:after="120" w:line="300" w:lineRule="exact"/>
      </w:pPr>
      <w:r>
        <w:rPr>
          <w:rFonts w:ascii="BIZ UDPゴシック" w:cs="BIZ UDPゴシック" w:eastAsia="BIZ UDPゴシック" w:hAnsi="BIZ UDPゴシック"/>
          <w:sz w:val="21"/>
          <w:szCs w:val="21"/>
        </w:rPr>
        <w:t xml:space="preserve">本資料の節・施策の番号（6-3・施策4-4など）は、策定委員会でご協議いただく素案（協議用）の番号です。公表用の計画書は第9期計画の章立てに合わせて組み替えているため、番号が異なります。本資料に出てくる番号の対応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協議用素案の番号</w:t>
            </w:r>
          </w:p>
        </w:tc>
        <w:tc>
          <w:tcPr>
            <w:tcW w:type="dxa" w:w="468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公表用の計画書の番号</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第4章6</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施策1-2</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施策1-3</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施策1-6</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施策1-2</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施策3-5</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施策4-1</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施策4-2</w:t>
            </w:r>
          </w:p>
        </w:tc>
      </w:tr>
      <w:tr>
        <w:trPr>
          <w:cantSplit/>
        </w:trPr>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施策4-6</w:t>
            </w:r>
          </w:p>
        </w:tc>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施策4-5</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施策4-7</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令和8年度の評価指標には、保険者機能強化推進交付金に成果指向型配分枠（配点100点）が新設されている。本資料の800点は評価指標による満点（推進交付金400点・介護保険保険者努力支援交付金400点）であり、この配分枠を含まない。受領した該当状況調査票集計表（市町村分）に当該配分枠の列がないため、本村の得点は確認できていない。</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IZ UDPゴシック" w:cs="BIZ UDPゴシック" w:eastAsia="BIZ UDPゴシック" w:hAnsi="BIZ UDPゴシック"/>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21"/>
        <w:szCs w:val="21"/>
      </w:rPr>
    </w:rPrDefault>
    <w:pPrDefault/>
  </w:docDefaults>
  <w:style w:type="paragraph" w:styleId="Title">
    <w:name w:val="Title"/>
    <w:basedOn w:val="Normal"/>
    <w:next w:val="Normal"/>
    <w:qFormat/>
    <w:rPr>
      <w:color w:val="1F3864"/>
    </w:rPr>
  </w:style>
  <w:style w:type="paragraph" w:styleId="Heading1">
    <w:name w:val="Heading 1"/>
    <w:basedOn w:val="Normal"/>
    <w:next w:val="Normal"/>
    <w:qFormat/>
    <w:rPr>
      <w:rFonts w:ascii="BIZ UDPゴシック" w:cs="BIZ UDPゴシック" w:eastAsia="BIZ UDPゴシック" w:hAnsi="BIZ UDPゴシック"/>
      <w:b/>
      <w:bCs/>
      <w:color w:val="FFFFFF"/>
      <w:sz w:val="30"/>
      <w:szCs w:val="30"/>
    </w:rPr>
  </w:style>
  <w:style w:type="paragraph" w:styleId="Heading2">
    <w:name w:val="Heading 2"/>
    <w:basedOn w:val="Normal"/>
    <w:next w:val="Normal"/>
    <w:qFormat/>
    <w:rPr>
      <w:rFonts w:ascii="BIZ UDPゴシック" w:cs="BIZ UDPゴシック" w:eastAsia="BIZ UDPゴシック" w:hAnsi="BIZ UDPゴシック"/>
      <w:b/>
      <w:bCs/>
      <w:color w:val="1F3864"/>
      <w:sz w:val="25"/>
      <w:szCs w:val="25"/>
    </w:rPr>
  </w:style>
  <w:style w:type="paragraph" w:styleId="Heading3">
    <w:name w:val="Heading 3"/>
    <w:basedOn w:val="Normal"/>
    <w:next w:val="Normal"/>
    <w:qFormat/>
    <w:rPr>
      <w:color w:val="1F3864"/>
    </w:rPr>
  </w:style>
  <w:style w:type="paragraph" w:styleId="Heading4">
    <w:name w:val="Heading 4"/>
    <w:basedOn w:val="Normal"/>
    <w:next w:val="Normal"/>
    <w:qFormat/>
    <w:rPr>
      <w:color w:val="1F3864"/>
    </w:rPr>
  </w:style>
  <w:style w:type="paragraph" w:styleId="Heading5">
    <w:name w:val="Heading 5"/>
    <w:basedOn w:val="Normal"/>
    <w:next w:val="Normal"/>
    <w:qFormat/>
    <w:rPr>
      <w:color w:val="1F3864"/>
    </w:rPr>
  </w:style>
  <w:style w:type="paragraph" w:styleId="Heading6">
    <w:name w:val="Heading 6"/>
    <w:basedOn w:val="Normal"/>
    <w:next w:val="Normal"/>
    <w:qFormat/>
    <w:rPr>
      <w:color w:val="1F386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2026-10-23T06:11:09.932Z</dcterms:created>
  <dcterms:modified xsi:type="dcterms:W3CDTF">2026-10-23T06:11:09.932Z</dcterms:modified>
</cp:coreProperties>
</file>

<file path=docProps/custom.xml><?xml version="1.0" encoding="utf-8"?>
<Properties xmlns="http://schemas.openxmlformats.org/officeDocument/2006/custom-properties" xmlns:vt="http://schemas.openxmlformats.org/officeDocument/2006/docPropsVTypes"/>
</file>