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5"/>
          <w:szCs w:val="15"/>
        </w:rPr>
        <w:t xml:space="preserve">出典：―</w:t>
      </w:r>
    </w:p>
    <w:p>
      <w:pPr>
        <w:spacing w:after="120" w:line="300"/>
      </w:pPr>
      <w:r>
        <w:rPr>
          <w:rFonts w:ascii="游明朝" w:cs="游明朝" w:eastAsia="游明朝" w:hAnsi="游明朝"/>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明朝" w:cs="游明朝" w:eastAsia="游明朝" w:hAnsi="游明朝"/>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spacing w:after="100" w:line="300"/>
      </w:pPr>
      <w:r>
        <w:rPr>
          <w:rFonts w:ascii="游ゴシック" w:cs="游ゴシック" w:eastAsia="游ゴシック" w:hAnsi="游ゴシック"/>
          <w:b/>
          <w:bCs/>
          <w:color w:val="2E75B6"/>
          <w:sz w:val="21"/>
          <w:szCs w:val="21"/>
        </w:rPr>
        <w:t xml:space="preserve">(11) 施策の見込量への反映</w:t>
      </w:r>
    </w:p>
    <w:p>
      <w:pPr>
        <w:spacing w:after="120" w:line="300"/>
      </w:pPr>
      <w:r>
        <w:rPr>
          <w:rFonts w:ascii="游明朝" w:cs="游明朝" w:eastAsia="游明朝" w:hAnsi="游明朝"/>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明朝" w:cs="游明朝" w:eastAsia="游明朝" w:hAnsi="游明朝"/>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1"/>
          <w:szCs w:val="21"/>
        </w:rPr>
        <w:t xml:space="preserve">(12) 需要に対する供給（担い手の枠）</w:t>
      </w:r>
    </w:p>
    <w:p>
      <w:pPr>
        <w:spacing w:after="120" w:line="300"/>
      </w:pPr>
      <w:r>
        <w:rPr>
          <w:rFonts w:ascii="游明朝" w:cs="游明朝" w:eastAsia="游明朝" w:hAnsi="游明朝"/>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明朝" w:cs="游明朝" w:eastAsia="游明朝" w:hAnsi="游明朝"/>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明朝" w:cs="游明朝" w:eastAsia="游明朝" w:hAnsi="游明朝"/>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1"/>
          <w:szCs w:val="21"/>
        </w:rPr>
        <w:t xml:space="preserve">(13) 真に入所が必要と判断される被保険者の把握</w:t>
      </w:r>
    </w:p>
    <w:p>
      <w:pPr>
        <w:spacing w:after="120" w:line="300"/>
      </w:pPr>
      <w:r>
        <w:rPr>
          <w:rFonts w:ascii="游明朝" w:cs="游明朝" w:eastAsia="游明朝" w:hAnsi="游明朝"/>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1"/>
          <w:szCs w:val="21"/>
        </w:rPr>
        <w:t xml:space="preserve">補助給付等の対標準給付費比</w:t>
      </w:r>
    </w:p>
    <w:p>
      <w:pPr>
        <w:spacing w:after="120" w:line="300"/>
      </w:pPr>
      <w:r>
        <w:rPr>
          <w:rFonts w:ascii="游明朝" w:cs="游明朝" w:eastAsia="游明朝" w:hAnsi="游明朝"/>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1"/>
          <w:szCs w:val="21"/>
        </w:rPr>
        <w:t xml:space="preserve">(3) 財政調整交付金の算定への影響</w:t>
      </w:r>
    </w:p>
    <w:p>
      <w:pPr>
        <w:spacing w:after="120" w:line="300"/>
      </w:pPr>
      <w:r>
        <w:rPr>
          <w:rFonts w:ascii="游明朝" w:cs="游明朝" w:eastAsia="游明朝" w:hAnsi="游明朝"/>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明朝" w:cs="游明朝" w:eastAsia="游明朝" w:hAnsi="游明朝"/>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1"/>
          <w:szCs w:val="21"/>
        </w:rPr>
        <w:t xml:space="preserve">(4) 介護SCRの活用</w:t>
      </w:r>
    </w:p>
    <w:p>
      <w:pPr>
        <w:spacing w:after="120" w:line="300"/>
      </w:pPr>
      <w:r>
        <w:rPr>
          <w:rFonts w:ascii="游明朝" w:cs="游明朝" w:eastAsia="游明朝" w:hAnsi="游明朝"/>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明朝" w:cs="游明朝" w:eastAsia="游明朝" w:hAnsi="游明朝"/>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由来す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給付適正化と交付金評価の進捗管理</w:t>
      </w:r>
    </w:p>
    <w:p>
      <w:pPr>
        <w:spacing w:after="120" w:line="300"/>
      </w:pPr>
      <w:r>
        <w:rPr>
          <w:rFonts w:ascii="游明朝" w:cs="游明朝" w:eastAsia="游明朝" w:hAnsi="游明朝"/>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2026-09-28T14:16:08.739Z</dcterms:created>
  <dcterms:modified xsi:type="dcterms:W3CDTF">2026-09-28T14:16:08.750Z</dcterms:modified>
</cp:coreProperties>
</file>

<file path=docProps/custom.xml><?xml version="1.0" encoding="utf-8"?>
<Properties xmlns="http://schemas.openxmlformats.org/officeDocument/2006/custom-properties" xmlns:vt="http://schemas.openxmlformats.org/officeDocument/2006/docPropsVTypes"/>
</file>