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第4節 老人福祉に根拠となる例規が置かれていません。他の章（防災・保健衛生等）にあるとみられるため、根拠を村に確認します（5-12）。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10項目56点です。これに、本計画が認知症施策推進計画を兼ねることにより取得できる5点（全国該当率42.8%のため上の32項目には含まれません）を加えた61点が上表の取得目標にあたり、447点は508点になります。本業務の実施で取得できる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139項目482点のすべてを取得の見込みで5つの段に分け、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2026-10-20T23:38:58.446Z</dcterms:created>
  <dcterms:modified xsi:type="dcterms:W3CDTF">2026-10-20T23:38:58.446Z</dcterms:modified>
</cp:coreProperties>
</file>

<file path=docProps/custom.xml><?xml version="1.0" encoding="utf-8"?>
<Properties xmlns="http://schemas.openxmlformats.org/officeDocument/2006/custom-properties" xmlns:vt="http://schemas.openxmlformats.org/officeDocument/2006/docPropsVTypes"/>
</file>