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190件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174件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spacing w:after="80"/>
      </w:pPr>
      <w:r>
        <w:rPr>
          <w:rFonts w:ascii="游ゴシック" w:hAnsi="游ゴシック" w:eastAsia="游ゴシック"/>
          <w:b w:val="0"/>
          <w:sz w:val="18"/>
        </w:rPr>
        <w:t>※　本表は本意見交換会の時点（令和8年10月1日）の件数です。本意見交換会の後の令和8年10月19日に、ほぼ全ての確認事項について受託者案により作成を進めること、及び10月までの各工程を完了とすることについてご了承をいただきました。これにより173件が受託者案で確定し、うち13件は保険料に関わる国の政令・省令・告示が示された後に再算定します。</w:t>
      </w:r>
    </w:p>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受託者が仮置きにより進めた事項（171件）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なお、特定施設入居者生活介護に係る必要利用定員総数（No.113）は、令和8年10月15日に参照条文により、混合型及び介護専用型のいずれも介護保険法第118条により北海道介護保険事業支援計画において定めるものとされており、本計画の記載事項ではないことが分かりました。本計画は区域内の状況を掲げるにとどめ、必要利用定員総数は北海道との協議により定めます。区域内の事業所の類型（混合型・介護専用型）は、同法第8条第21項により入居の要件によって定まります［要確認］。</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No.131</w:t>
            </w:r>
          </w:p>
        </w:tc>
        <w:tc>
          <w:tcPr>
            <w:tcW w:type="dxa" w:w="2608"/>
            <w:shd w:val="clear" w:color="auto" w:fill="F2F5FA"/>
            <w:vAlign w:val="center"/>
          </w:tcPr>
          <w:p>
            <w:pPr>
              <w:spacing w:after="0"/>
            </w:pPr>
            <w:r>
              <w:rPr>
                <w:rFonts w:ascii="游ゴシック" w:hAnsi="游ゴシック" w:eastAsia="游ゴシック"/>
                <w:b w:val="0"/>
                <w:sz w:val="16"/>
              </w:rPr>
              <w:t>第6章第2節の見込量の表に何を掲げるか</w:t>
            </w:r>
          </w:p>
        </w:tc>
        <w:tc>
          <w:tcPr>
            <w:tcW w:type="dxa" w:w="4649"/>
            <w:shd w:val="clear" w:color="auto" w:fill="F2F5FA"/>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shd w:val="clear" w:color="auto" w:fill="F2F5FA"/>
            <w:vAlign w:val="center"/>
          </w:tcPr>
          <w:p>
            <w:pPr>
              <w:spacing w:after="0"/>
            </w:pPr>
            <w:r>
              <w:rPr>
                <w:rFonts w:ascii="游ゴシック" w:hAnsi="游ゴシック" w:eastAsia="游ゴシック"/>
                <w:b w:val="0"/>
                <w:sz w:val="16"/>
              </w:rPr>
              <w:t>第6章第2節・第3節2</w:t>
            </w:r>
          </w:p>
        </w:tc>
      </w:tr>
      <w:tr>
        <w:trPr>
          <w:cantSplit/>
        </w:trPr>
        <w:tc>
          <w:tcPr>
            <w:tcW w:type="dxa" w:w="794"/>
            <w:vAlign w:val="center"/>
          </w:tcPr>
          <w:p>
            <w:pPr>
              <w:spacing w:after="0"/>
              <w:jc w:val="center"/>
            </w:pPr>
            <w:r>
              <w:rPr>
                <w:rFonts w:ascii="游ゴシック" w:hAnsi="游ゴシック" w:eastAsia="游ゴシック"/>
                <w:b w:val="0"/>
                <w:sz w:val="16"/>
              </w:rPr>
              <w:t>No.112</w:t>
            </w:r>
          </w:p>
        </w:tc>
        <w:tc>
          <w:tcPr>
            <w:tcW w:type="dxa" w:w="2608"/>
            <w:vAlign w:val="center"/>
          </w:tcPr>
          <w:p>
            <w:pPr>
              <w:spacing w:after="0"/>
            </w:pPr>
            <w:r>
              <w:rPr>
                <w:rFonts w:ascii="游ゴシック" w:hAnsi="游ゴシック" w:eastAsia="游ゴシック"/>
                <w:b w:val="0"/>
                <w:sz w:val="16"/>
              </w:rPr>
              <w:t>地域支援事業の量の見込みを算定してよいか</w:t>
            </w:r>
          </w:p>
        </w:tc>
        <w:tc>
          <w:tcPr>
            <w:tcW w:type="dxa" w:w="4649"/>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No.106</w:t>
            </w:r>
          </w:p>
        </w:tc>
        <w:tc>
          <w:tcPr>
            <w:tcW w:type="dxa" w:w="2608"/>
            <w:shd w:val="clear" w:color="auto" w:fill="F2F5FA"/>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shd w:val="clear" w:color="auto" w:fill="F2F5FA"/>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No.105</w:t>
            </w:r>
          </w:p>
        </w:tc>
        <w:tc>
          <w:tcPr>
            <w:tcW w:type="dxa" w:w="2608"/>
            <w:vAlign w:val="center"/>
          </w:tcPr>
          <w:p>
            <w:pPr>
              <w:spacing w:after="0"/>
            </w:pPr>
            <w:r>
              <w:rPr>
                <w:rFonts w:ascii="游ゴシック" w:hAnsi="游ゴシック" w:eastAsia="游ゴシック"/>
                <w:b w:val="0"/>
                <w:sz w:val="16"/>
              </w:rPr>
              <w:t>施策反映を行うか。行う場合の対象と歯止め</w:t>
            </w:r>
          </w:p>
        </w:tc>
        <w:tc>
          <w:tcPr>
            <w:tcW w:type="dxa" w:w="4649"/>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No.137</w:t>
            </w:r>
          </w:p>
        </w:tc>
        <w:tc>
          <w:tcPr>
            <w:tcW w:type="dxa" w:w="2608"/>
            <w:shd w:val="clear" w:color="auto" w:fill="F2F5FA"/>
            <w:vAlign w:val="center"/>
          </w:tcPr>
          <w:p>
            <w:pPr>
              <w:spacing w:after="0"/>
            </w:pPr>
            <w:r>
              <w:rPr>
                <w:rFonts w:ascii="游ゴシック" w:hAnsi="游ゴシック" w:eastAsia="游ゴシック"/>
                <w:b w:val="0"/>
                <w:sz w:val="16"/>
              </w:rPr>
              <w:t>1人1月あたり給付費の実績値をどの年度にするか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No.110</w:t>
            </w:r>
          </w:p>
        </w:tc>
        <w:tc>
          <w:tcPr>
            <w:tcW w:type="dxa" w:w="2608"/>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No.150</w:t>
            </w:r>
          </w:p>
        </w:tc>
        <w:tc>
          <w:tcPr>
            <w:tcW w:type="dxa" w:w="2608"/>
            <w:shd w:val="clear" w:color="auto" w:fill="F2F5FA"/>
            <w:vAlign w:val="center"/>
          </w:tcPr>
          <w:p>
            <w:pPr>
              <w:spacing w:after="0"/>
            </w:pPr>
            <w:r>
              <w:rPr>
                <w:rFonts w:ascii="游ゴシック" w:hAnsi="游ゴシック" w:eastAsia="游ゴシック"/>
                <w:b w:val="0"/>
                <w:sz w:val="16"/>
              </w:rPr>
              <w:t>認知症総合支援事業の実績のご提供</w:t>
            </w:r>
          </w:p>
        </w:tc>
        <w:tc>
          <w:tcPr>
            <w:tcW w:type="dxa" w:w="4649"/>
            <w:shd w:val="clear" w:color="auto" w:fill="F2F5FA"/>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No.98</w:t>
            </w:r>
          </w:p>
        </w:tc>
        <w:tc>
          <w:tcPr>
            <w:tcW w:type="dxa" w:w="2608"/>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vAlign w:val="center"/>
          </w:tcPr>
          <w:p>
            <w:pPr>
              <w:spacing w:after="0"/>
            </w:pPr>
            <w:r>
              <w:rPr>
                <w:rFonts w:ascii="游ゴシック" w:hAnsi="游ゴシック" w:eastAsia="游ゴシック"/>
                <w:b w:val="0"/>
                <w:sz w:val="16"/>
              </w:rPr>
              <w:t>省令上の類型は計画に掲げていない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No.100</w:t>
            </w:r>
          </w:p>
        </w:tc>
        <w:tc>
          <w:tcPr>
            <w:tcW w:type="dxa" w:w="2608"/>
            <w:shd w:val="clear" w:color="auto" w:fill="F2F5FA"/>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shd w:val="clear" w:color="auto" w:fill="F2F5FA"/>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shd w:val="clear" w:color="auto" w:fill="F2F5FA"/>
            <w:vAlign w:val="center"/>
          </w:tcPr>
          <w:p>
            <w:pPr>
              <w:spacing w:after="0"/>
            </w:pPr>
            <w:r>
              <w:rPr>
                <w:rFonts w:ascii="游ゴシック" w:hAnsi="游ゴシック" w:eastAsia="游ゴシック"/>
                <w:b w:val="0"/>
                <w:sz w:val="16"/>
              </w:rPr>
              <w:t>第6章第2節・第3節</w:t>
            </w:r>
          </w:p>
        </w:tc>
      </w:tr>
      <w:tr>
        <w:trPr>
          <w:cantSplit/>
        </w:trPr>
        <w:tc>
          <w:tcPr>
            <w:tcW w:type="dxa" w:w="794"/>
            <w:vAlign w:val="center"/>
          </w:tcPr>
          <w:p>
            <w:pPr>
              <w:spacing w:after="0"/>
              <w:jc w:val="center"/>
            </w:pPr>
            <w:r>
              <w:rPr>
                <w:rFonts w:ascii="游ゴシック" w:hAnsi="游ゴシック" w:eastAsia="游ゴシック"/>
                <w:b w:val="0"/>
                <w:sz w:val="16"/>
              </w:rPr>
              <w:t>No.101</w:t>
            </w:r>
          </w:p>
        </w:tc>
        <w:tc>
          <w:tcPr>
            <w:tcW w:type="dxa" w:w="2608"/>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vAlign w:val="center"/>
          </w:tcPr>
          <w:p>
            <w:pPr>
              <w:spacing w:after="0"/>
            </w:pPr>
            <w:r>
              <w:rPr>
                <w:rFonts w:ascii="游ゴシック" w:hAnsi="游ゴシック" w:eastAsia="游ゴシック"/>
                <w:b w:val="0"/>
                <w:sz w:val="16"/>
              </w:rPr>
              <w:t>第6章第2節・第6節2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No.103</w:t>
            </w:r>
          </w:p>
        </w:tc>
        <w:tc>
          <w:tcPr>
            <w:tcW w:type="dxa" w:w="2608"/>
            <w:shd w:val="clear" w:color="auto" w:fill="F2F5FA"/>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No.107</w:t>
            </w:r>
          </w:p>
        </w:tc>
        <w:tc>
          <w:tcPr>
            <w:tcW w:type="dxa" w:w="2608"/>
            <w:vAlign w:val="center"/>
          </w:tcPr>
          <w:p>
            <w:pPr>
              <w:spacing w:after="0"/>
            </w:pPr>
            <w:r>
              <w:rPr>
                <w:rFonts w:ascii="游ゴシック" w:hAnsi="游ゴシック" w:eastAsia="游ゴシック"/>
                <w:b w:val="0"/>
                <w:sz w:val="16"/>
              </w:rPr>
              <w:t>施設・居住系の実績の減少を将来へ延長するか</w:t>
            </w:r>
          </w:p>
        </w:tc>
        <w:tc>
          <w:tcPr>
            <w:tcW w:type="dxa" w:w="4649"/>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No.141</w:t>
            </w:r>
          </w:p>
        </w:tc>
        <w:tc>
          <w:tcPr>
            <w:tcW w:type="dxa" w:w="2608"/>
            <w:shd w:val="clear" w:color="auto" w:fill="F2F5FA"/>
            <w:vAlign w:val="center"/>
          </w:tcPr>
          <w:p>
            <w:pPr>
              <w:spacing w:after="0"/>
            </w:pPr>
            <w:r>
              <w:rPr>
                <w:rFonts w:ascii="游ゴシック" w:hAnsi="游ゴシック" w:eastAsia="游ゴシック"/>
                <w:b w:val="0"/>
                <w:sz w:val="16"/>
              </w:rPr>
              <w:t>区域を越えた施設利用の扱い</w:t>
            </w:r>
          </w:p>
        </w:tc>
        <w:tc>
          <w:tcPr>
            <w:tcW w:type="dxa" w:w="4649"/>
            <w:shd w:val="clear" w:color="auto" w:fill="F2F5FA"/>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No.146</w:t>
            </w:r>
          </w:p>
        </w:tc>
        <w:tc>
          <w:tcPr>
            <w:tcW w:type="dxa" w:w="2608"/>
            <w:vAlign w:val="center"/>
          </w:tcPr>
          <w:p>
            <w:pPr>
              <w:spacing w:after="0"/>
            </w:pPr>
            <w:r>
              <w:rPr>
                <w:rFonts w:ascii="游ゴシック" w:hAnsi="游ゴシック" w:eastAsia="游ゴシック"/>
                <w:b w:val="0"/>
                <w:sz w:val="16"/>
              </w:rPr>
              <w:t>見込量の伸びを要介護度別に改めてよいか</w:t>
            </w:r>
          </w:p>
        </w:tc>
        <w:tc>
          <w:tcPr>
            <w:tcW w:type="dxa" w:w="4649"/>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No.151</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No.93</w:t>
            </w:r>
          </w:p>
        </w:tc>
        <w:tc>
          <w:tcPr>
            <w:tcW w:type="dxa" w:w="2608"/>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vAlign w:val="center"/>
          </w:tcPr>
          <w:p>
            <w:pPr>
              <w:spacing w:after="0"/>
            </w:pPr>
            <w:r>
              <w:rPr>
                <w:rFonts w:ascii="游ゴシック" w:hAnsi="游ゴシック" w:eastAsia="游ゴシック"/>
                <w:b w:val="0"/>
                <w:sz w:val="16"/>
              </w:rPr>
              <w:t>第5章 基本目標5・第6章第6節4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No.82</w:t>
            </w:r>
          </w:p>
        </w:tc>
        <w:tc>
          <w:tcPr>
            <w:tcW w:type="dxa" w:w="2608"/>
            <w:shd w:val="clear" w:color="auto" w:fill="F2F5FA"/>
            <w:vAlign w:val="center"/>
          </w:tcPr>
          <w:p>
            <w:pPr>
              <w:spacing w:after="0"/>
            </w:pPr>
            <w:r>
              <w:rPr>
                <w:rFonts w:ascii="游ゴシック" w:hAnsi="游ゴシック" w:eastAsia="游ゴシック"/>
                <w:b w:val="0"/>
                <w:sz w:val="16"/>
              </w:rPr>
              <w:t>構成町の一般会計繰入金の町別按分の方法</w:t>
            </w:r>
          </w:p>
        </w:tc>
        <w:tc>
          <w:tcPr>
            <w:tcW w:type="dxa" w:w="4649"/>
            <w:shd w:val="clear" w:color="auto" w:fill="F2F5FA"/>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No.123</w:t>
            </w:r>
          </w:p>
        </w:tc>
        <w:tc>
          <w:tcPr>
            <w:tcW w:type="dxa" w:w="2608"/>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No.126</w:t>
            </w:r>
          </w:p>
        </w:tc>
        <w:tc>
          <w:tcPr>
            <w:tcW w:type="dxa" w:w="2608"/>
            <w:shd w:val="clear" w:color="auto" w:fill="F2F5FA"/>
            <w:vAlign w:val="center"/>
          </w:tcPr>
          <w:p>
            <w:pPr>
              <w:spacing w:after="0"/>
            </w:pPr>
            <w:r>
              <w:rPr>
                <w:rFonts w:ascii="游ゴシック" w:hAnsi="游ゴシック" w:eastAsia="游ゴシック"/>
                <w:b w:val="0"/>
                <w:sz w:val="16"/>
              </w:rPr>
              <w:t>見える化システムの推計方式は基本推計でよいか</w:t>
            </w:r>
          </w:p>
        </w:tc>
        <w:tc>
          <w:tcPr>
            <w:tcW w:type="dxa" w:w="4649"/>
            <w:shd w:val="clear" w:color="auto" w:fill="F2F5FA"/>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shd w:val="clear" w:color="auto" w:fill="F2F5FA"/>
            <w:vAlign w:val="center"/>
          </w:tcPr>
          <w:p>
            <w:pPr>
              <w:spacing w:after="0"/>
            </w:pPr>
            <w:r>
              <w:rPr>
                <w:rFonts w:ascii="游ゴシック" w:hAnsi="游ゴシック" w:eastAsia="游ゴシック"/>
                <w:b w:val="0"/>
                <w:sz w:val="16"/>
              </w:rPr>
              <w:t>第6章第1節・第2節</w:t>
            </w:r>
          </w:p>
        </w:tc>
      </w:tr>
      <w:tr>
        <w:trPr>
          <w:cantSplit/>
        </w:trPr>
        <w:tc>
          <w:tcPr>
            <w:tcW w:type="dxa" w:w="794"/>
            <w:vAlign w:val="center"/>
          </w:tcPr>
          <w:p>
            <w:pPr>
              <w:spacing w:after="0"/>
              <w:jc w:val="center"/>
            </w:pPr>
            <w:r>
              <w:rPr>
                <w:rFonts w:ascii="游ゴシック" w:hAnsi="游ゴシック" w:eastAsia="游ゴシック"/>
                <w:b w:val="0"/>
                <w:sz w:val="16"/>
              </w:rPr>
              <w:t>No.130</w:t>
            </w:r>
          </w:p>
        </w:tc>
        <w:tc>
          <w:tcPr>
            <w:tcW w:type="dxa" w:w="2608"/>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No.104</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No.109</w:t>
            </w:r>
          </w:p>
        </w:tc>
        <w:tc>
          <w:tcPr>
            <w:tcW w:type="dxa" w:w="2608"/>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No.114</w:t>
            </w:r>
          </w:p>
        </w:tc>
        <w:tc>
          <w:tcPr>
            <w:tcW w:type="dxa" w:w="2608"/>
            <w:shd w:val="clear" w:color="auto" w:fill="F2F5FA"/>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shd w:val="clear" w:color="auto" w:fill="F2F5FA"/>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shd w:val="clear" w:color="auto" w:fill="F2F5FA"/>
            <w:vAlign w:val="center"/>
          </w:tcPr>
          <w:p>
            <w:pPr>
              <w:spacing w:after="0"/>
            </w:pPr>
            <w:r>
              <w:rPr>
                <w:rFonts w:ascii="游ゴシック" w:hAnsi="游ゴシック" w:eastAsia="游ゴシック"/>
                <w:b w:val="0"/>
                <w:sz w:val="16"/>
              </w:rPr>
              <w:t>第6章第1節・第3節</w:t>
            </w:r>
          </w:p>
        </w:tc>
      </w:tr>
      <w:tr>
        <w:trPr>
          <w:cantSplit/>
        </w:trPr>
        <w:tc>
          <w:tcPr>
            <w:tcW w:type="dxa" w:w="794"/>
            <w:vAlign w:val="center"/>
          </w:tcPr>
          <w:p>
            <w:pPr>
              <w:spacing w:after="0"/>
              <w:jc w:val="center"/>
            </w:pPr>
            <w:r>
              <w:rPr>
                <w:rFonts w:ascii="游ゴシック" w:hAnsi="游ゴシック" w:eastAsia="游ゴシック"/>
                <w:b w:val="0"/>
                <w:sz w:val="16"/>
              </w:rPr>
              <w:t>No.132</w:t>
            </w:r>
          </w:p>
        </w:tc>
        <w:tc>
          <w:tcPr>
            <w:tcW w:type="dxa" w:w="2608"/>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No.142</w:t>
            </w:r>
          </w:p>
        </w:tc>
        <w:tc>
          <w:tcPr>
            <w:tcW w:type="dxa" w:w="2608"/>
            <w:shd w:val="clear" w:color="auto" w:fill="F2F5FA"/>
            <w:vAlign w:val="center"/>
          </w:tcPr>
          <w:p>
            <w:pPr>
              <w:spacing w:after="0"/>
            </w:pPr>
            <w:r>
              <w:rPr>
                <w:rFonts w:ascii="游ゴシック" w:hAnsi="游ゴシック" w:eastAsia="游ゴシック"/>
                <w:b w:val="0"/>
                <w:sz w:val="16"/>
              </w:rPr>
              <w:t>第1次概算を既定値のまま出してよいか</w:t>
            </w:r>
          </w:p>
        </w:tc>
        <w:tc>
          <w:tcPr>
            <w:tcW w:type="dxa" w:w="4649"/>
            <w:shd w:val="clear" w:color="auto" w:fill="F2F5FA"/>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No.145</w:t>
            </w:r>
          </w:p>
        </w:tc>
        <w:tc>
          <w:tcPr>
            <w:tcW w:type="dxa" w:w="2608"/>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No.147</w:t>
            </w:r>
          </w:p>
        </w:tc>
        <w:tc>
          <w:tcPr>
            <w:tcW w:type="dxa" w:w="2608"/>
            <w:shd w:val="clear" w:color="auto" w:fill="F2F5FA"/>
            <w:vAlign w:val="center"/>
          </w:tcPr>
          <w:p>
            <w:pPr>
              <w:spacing w:after="0"/>
            </w:pPr>
            <w:r>
              <w:rPr>
                <w:rFonts w:ascii="游ゴシック" w:hAnsi="游ゴシック" w:eastAsia="游ゴシック"/>
                <w:b w:val="0"/>
                <w:sz w:val="16"/>
              </w:rPr>
              <w:t>見える化システムの伸びの選択肢をどれとするか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No.84</w:t>
            </w:r>
          </w:p>
        </w:tc>
        <w:tc>
          <w:tcPr>
            <w:tcW w:type="dxa" w:w="2608"/>
            <w:vAlign w:val="center"/>
          </w:tcPr>
          <w:p>
            <w:pPr>
              <w:spacing w:after="0"/>
            </w:pPr>
            <w:r>
              <w:rPr>
                <w:rFonts w:ascii="游ゴシック" w:hAnsi="游ゴシック" w:eastAsia="游ゴシック"/>
                <w:b w:val="0"/>
                <w:sz w:val="16"/>
              </w:rPr>
              <w:t>東川町の施設整備・サービス提供方針</w:t>
            </w:r>
          </w:p>
        </w:tc>
        <w:tc>
          <w:tcPr>
            <w:tcW w:type="dxa" w:w="4649"/>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No.116</w:t>
            </w:r>
          </w:p>
        </w:tc>
        <w:tc>
          <w:tcPr>
            <w:tcW w:type="dxa" w:w="2608"/>
            <w:shd w:val="clear" w:color="auto" w:fill="F2F5FA"/>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shd w:val="clear" w:color="auto" w:fill="F2F5FA"/>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No.152</w:t>
            </w:r>
          </w:p>
        </w:tc>
        <w:tc>
          <w:tcPr>
            <w:tcW w:type="dxa" w:w="2608"/>
            <w:vAlign w:val="center"/>
          </w:tcPr>
          <w:p>
            <w:pPr>
              <w:spacing w:after="0"/>
            </w:pPr>
            <w:r>
              <w:rPr>
                <w:rFonts w:ascii="游ゴシック" w:hAnsi="游ゴシック" w:eastAsia="游ゴシック"/>
                <w:b w:val="0"/>
                <w:sz w:val="16"/>
              </w:rPr>
              <w:t>町別の人口の将来推計を計画本文に掲げるか</w:t>
            </w:r>
          </w:p>
        </w:tc>
        <w:tc>
          <w:tcPr>
            <w:tcW w:type="dxa" w:w="4649"/>
            <w:vAlign w:val="center"/>
          </w:tcPr>
          <w:p>
            <w:pPr>
              <w:spacing w:after="0"/>
            </w:pPr>
            <w:r>
              <w:rPr>
                <w:rFonts w:ascii="游ゴシック" w:hAnsi="游ゴシック" w:eastAsia="游ゴシック"/>
                <w:b w:val="0"/>
                <w:sz w:val="16"/>
              </w:rPr>
              <w:t>町別の人口の将来推計は計画本文に掲げていない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No.153</w:t>
            </w:r>
          </w:p>
        </w:tc>
        <w:tc>
          <w:tcPr>
            <w:tcW w:type="dxa" w:w="2608"/>
            <w:shd w:val="clear" w:color="auto" w:fill="F2F5FA"/>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shd w:val="clear" w:color="auto" w:fill="F2F5FA"/>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No.7</w:t>
            </w:r>
          </w:p>
        </w:tc>
        <w:tc>
          <w:tcPr>
            <w:tcW w:type="dxa" w:w="2608"/>
            <w:vAlign w:val="center"/>
          </w:tcPr>
          <w:p>
            <w:pPr>
              <w:spacing w:after="0"/>
            </w:pPr>
            <w:r>
              <w:rPr>
                <w:rFonts w:ascii="游ゴシック" w:hAnsi="游ゴシック" w:eastAsia="游ゴシック"/>
                <w:b w:val="0"/>
                <w:sz w:val="16"/>
              </w:rPr>
              <w:t>第9期の自己評価と北海道への報告の実績</w:t>
            </w:r>
          </w:p>
        </w:tc>
        <w:tc>
          <w:tcPr>
            <w:tcW w:type="dxa" w:w="4649"/>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vAlign w:val="center"/>
          </w:tcPr>
          <w:p>
            <w:pPr>
              <w:spacing w:after="0"/>
            </w:pPr>
            <w:r>
              <w:rPr>
                <w:rFonts w:ascii="游ゴシック" w:hAnsi="游ゴシック" w:eastAsia="游ゴシック"/>
                <w:b w:val="0"/>
                <w:sz w:val="16"/>
              </w:rPr>
              <w:t>第1章第6節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No.86</w:t>
            </w:r>
          </w:p>
        </w:tc>
        <w:tc>
          <w:tcPr>
            <w:tcW w:type="dxa" w:w="2608"/>
            <w:shd w:val="clear" w:color="auto" w:fill="F2F5FA"/>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shd w:val="clear" w:color="auto" w:fill="F2F5FA"/>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No.94</w:t>
            </w:r>
          </w:p>
        </w:tc>
        <w:tc>
          <w:tcPr>
            <w:tcW w:type="dxa" w:w="2608"/>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No.128</w:t>
            </w:r>
          </w:p>
        </w:tc>
        <w:tc>
          <w:tcPr>
            <w:tcW w:type="dxa" w:w="2608"/>
            <w:shd w:val="clear" w:color="auto" w:fill="F2F5FA"/>
            <w:vAlign w:val="center"/>
          </w:tcPr>
          <w:p>
            <w:pPr>
              <w:spacing w:after="0"/>
            </w:pPr>
            <w:r>
              <w:rPr>
                <w:rFonts w:ascii="游ゴシック" w:hAnsi="游ゴシック" w:eastAsia="游ゴシック"/>
                <w:b w:val="0"/>
                <w:sz w:val="16"/>
              </w:rPr>
              <w:t>令和8年度の実績見込み値を編集するか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No.129</w:t>
            </w:r>
          </w:p>
        </w:tc>
        <w:tc>
          <w:tcPr>
            <w:tcW w:type="dxa" w:w="2608"/>
            <w:vAlign w:val="center"/>
          </w:tcPr>
          <w:p>
            <w:pPr>
              <w:spacing w:after="0"/>
            </w:pPr>
            <w:r>
              <w:rPr>
                <w:rFonts w:ascii="游ゴシック" w:hAnsi="游ゴシック" w:eastAsia="游ゴシック"/>
                <w:b w:val="0"/>
                <w:sz w:val="16"/>
              </w:rPr>
              <w:t>見える化システムの利用率等の伸びの選択</w:t>
            </w:r>
          </w:p>
        </w:tc>
        <w:tc>
          <w:tcPr>
            <w:tcW w:type="dxa" w:w="4649"/>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No.33</w:t>
            </w:r>
          </w:p>
        </w:tc>
        <w:tc>
          <w:tcPr>
            <w:tcW w:type="dxa" w:w="2608"/>
            <w:shd w:val="clear" w:color="auto" w:fill="F2F5FA"/>
            <w:vAlign w:val="center"/>
          </w:tcPr>
          <w:p>
            <w:pPr>
              <w:spacing w:after="0"/>
            </w:pPr>
            <w:r>
              <w:rPr>
                <w:rFonts w:ascii="游ゴシック" w:hAnsi="游ゴシック" w:eastAsia="游ゴシック"/>
                <w:b w:val="0"/>
                <w:sz w:val="16"/>
              </w:rPr>
              <w:t>第10期の政令改正の内容（所得段階）</w:t>
            </w:r>
          </w:p>
        </w:tc>
        <w:tc>
          <w:tcPr>
            <w:tcW w:type="dxa" w:w="4649"/>
            <w:shd w:val="clear" w:color="auto" w:fill="F2F5FA"/>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No.39</w:t>
            </w:r>
          </w:p>
        </w:tc>
        <w:tc>
          <w:tcPr>
            <w:tcW w:type="dxa" w:w="2608"/>
            <w:vAlign w:val="center"/>
          </w:tcPr>
          <w:p>
            <w:pPr>
              <w:spacing w:after="0"/>
            </w:pPr>
            <w:r>
              <w:rPr>
                <w:rFonts w:ascii="游ゴシック" w:hAnsi="游ゴシック" w:eastAsia="游ゴシック"/>
                <w:b w:val="0"/>
                <w:sz w:val="16"/>
              </w:rPr>
              <w:t>中間報告・施策体系新旧対照表・骨子案のご確認</w:t>
            </w:r>
          </w:p>
        </w:tc>
        <w:tc>
          <w:tcPr>
            <w:tcW w:type="dxa" w:w="4649"/>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vAlign w:val="center"/>
          </w:tcPr>
          <w:p>
            <w:pPr>
              <w:spacing w:after="0"/>
            </w:pPr>
            <w:r>
              <w:rPr>
                <w:rFonts w:ascii="游ゴシック" w:hAnsi="游ゴシック" w:eastAsia="游ゴシック"/>
                <w:b w:val="0"/>
                <w:sz w:val="16"/>
              </w:rPr>
              <w:t>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No.40</w:t>
            </w:r>
          </w:p>
        </w:tc>
        <w:tc>
          <w:tcPr>
            <w:tcW w:type="dxa" w:w="2608"/>
            <w:shd w:val="clear" w:color="auto" w:fill="F2F5FA"/>
            <w:vAlign w:val="center"/>
          </w:tcPr>
          <w:p>
            <w:pPr>
              <w:spacing w:after="0"/>
            </w:pPr>
            <w:r>
              <w:rPr>
                <w:rFonts w:ascii="游ゴシック" w:hAnsi="游ゴシック" w:eastAsia="游ゴシック"/>
                <w:b w:val="0"/>
                <w:sz w:val="16"/>
              </w:rPr>
              <w:t>社会資源一覧の従業員数の重複計上の扱い</w:t>
            </w:r>
          </w:p>
        </w:tc>
        <w:tc>
          <w:tcPr>
            <w:tcW w:type="dxa" w:w="4649"/>
            <w:shd w:val="clear" w:color="auto" w:fill="F2F5FA"/>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第2章第3節5</w:t>
            </w:r>
          </w:p>
        </w:tc>
      </w:tr>
      <w:tr>
        <w:trPr>
          <w:cantSplit/>
        </w:trPr>
        <w:tc>
          <w:tcPr>
            <w:tcW w:type="dxa" w:w="794"/>
            <w:vAlign w:val="center"/>
          </w:tcPr>
          <w:p>
            <w:pPr>
              <w:spacing w:after="0"/>
              <w:jc w:val="center"/>
            </w:pPr>
            <w:r>
              <w:rPr>
                <w:rFonts w:ascii="游ゴシック" w:hAnsi="游ゴシック" w:eastAsia="游ゴシック"/>
                <w:b w:val="0"/>
                <w:sz w:val="16"/>
              </w:rPr>
              <w:t>No.43</w:t>
            </w:r>
          </w:p>
        </w:tc>
        <w:tc>
          <w:tcPr>
            <w:tcW w:type="dxa" w:w="2608"/>
            <w:vAlign w:val="center"/>
          </w:tcPr>
          <w:p>
            <w:pPr>
              <w:spacing w:after="0"/>
            </w:pPr>
            <w:r>
              <w:rPr>
                <w:rFonts w:ascii="游ゴシック" w:hAnsi="游ゴシック" w:eastAsia="游ゴシック"/>
                <w:b w:val="0"/>
                <w:sz w:val="16"/>
              </w:rPr>
              <w:t>認定に要する日数の扱い</w:t>
            </w:r>
          </w:p>
        </w:tc>
        <w:tc>
          <w:tcPr>
            <w:tcW w:type="dxa" w:w="4649"/>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vAlign w:val="center"/>
          </w:tcPr>
          <w:p>
            <w:pPr>
              <w:spacing w:after="0"/>
            </w:pPr>
            <w:r>
              <w:rPr>
                <w:rFonts w:ascii="游ゴシック" w:hAnsi="游ゴシック" w:eastAsia="游ゴシック"/>
                <w:b w:val="0"/>
                <w:sz w:val="16"/>
              </w:rPr>
              <w:t>第2章第1節3・第5章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No.45</w:t>
            </w:r>
          </w:p>
        </w:tc>
        <w:tc>
          <w:tcPr>
            <w:tcW w:type="dxa" w:w="2608"/>
            <w:shd w:val="clear" w:color="auto" w:fill="F2F5FA"/>
            <w:vAlign w:val="center"/>
          </w:tcPr>
          <w:p>
            <w:pPr>
              <w:spacing w:after="0"/>
            </w:pPr>
            <w:r>
              <w:rPr>
                <w:rFonts w:ascii="游ゴシック" w:hAnsi="游ゴシック" w:eastAsia="游ゴシック"/>
                <w:b w:val="0"/>
                <w:sz w:val="16"/>
              </w:rPr>
              <w:t>代表KPI H15の分母の定義</w:t>
            </w:r>
          </w:p>
        </w:tc>
        <w:tc>
          <w:tcPr>
            <w:tcW w:type="dxa" w:w="4649"/>
            <w:shd w:val="clear" w:color="auto" w:fill="F2F5FA"/>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No.57</w:t>
            </w:r>
          </w:p>
        </w:tc>
        <w:tc>
          <w:tcPr>
            <w:tcW w:type="dxa" w:w="2608"/>
            <w:vAlign w:val="center"/>
          </w:tcPr>
          <w:p>
            <w:pPr>
              <w:spacing w:after="0"/>
            </w:pPr>
            <w:r>
              <w:rPr>
                <w:rFonts w:ascii="游ゴシック" w:hAnsi="游ゴシック" w:eastAsia="游ゴシック"/>
                <w:b w:val="0"/>
                <w:sz w:val="16"/>
              </w:rPr>
              <w:t>計画値を0としたサービスに実績がある2件</w:t>
            </w:r>
          </w:p>
        </w:tc>
        <w:tc>
          <w:tcPr>
            <w:tcW w:type="dxa" w:w="4649"/>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No.58</w:t>
            </w:r>
          </w:p>
        </w:tc>
        <w:tc>
          <w:tcPr>
            <w:tcW w:type="dxa" w:w="2608"/>
            <w:shd w:val="clear" w:color="auto" w:fill="F2F5FA"/>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shd w:val="clear" w:color="auto" w:fill="F2F5FA"/>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No.63</w:t>
            </w:r>
          </w:p>
        </w:tc>
        <w:tc>
          <w:tcPr>
            <w:tcW w:type="dxa" w:w="2608"/>
            <w:vAlign w:val="center"/>
          </w:tcPr>
          <w:p>
            <w:pPr>
              <w:spacing w:after="0"/>
            </w:pPr>
            <w:r>
              <w:rPr>
                <w:rFonts w:ascii="游ゴシック" w:hAnsi="游ゴシック" w:eastAsia="游ゴシック"/>
                <w:b w:val="0"/>
                <w:sz w:val="16"/>
              </w:rPr>
              <w:t>人口推計の基礎を総合戦略とするご指示への対応</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No.65</w:t>
            </w:r>
          </w:p>
        </w:tc>
        <w:tc>
          <w:tcPr>
            <w:tcW w:type="dxa" w:w="2608"/>
            <w:shd w:val="clear" w:color="auto" w:fill="F2F5FA"/>
            <w:vAlign w:val="center"/>
          </w:tcPr>
          <w:p>
            <w:pPr>
              <w:spacing w:after="0"/>
            </w:pPr>
            <w:r>
              <w:rPr>
                <w:rFonts w:ascii="游ゴシック" w:hAnsi="游ゴシック" w:eastAsia="游ゴシック"/>
                <w:b w:val="0"/>
                <w:sz w:val="16"/>
              </w:rPr>
              <w:t>広域連合において行うべき事業の優先順位</w:t>
            </w:r>
          </w:p>
        </w:tc>
        <w:tc>
          <w:tcPr>
            <w:tcW w:type="dxa" w:w="4649"/>
            <w:shd w:val="clear" w:color="auto" w:fill="F2F5FA"/>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No.66</w:t>
            </w:r>
          </w:p>
        </w:tc>
        <w:tc>
          <w:tcPr>
            <w:tcW w:type="dxa" w:w="2608"/>
            <w:vAlign w:val="center"/>
          </w:tcPr>
          <w:p>
            <w:pPr>
              <w:spacing w:after="0"/>
            </w:pPr>
            <w:r>
              <w:rPr>
                <w:rFonts w:ascii="游ゴシック" w:hAnsi="游ゴシック" w:eastAsia="游ゴシック"/>
                <w:b w:val="0"/>
                <w:sz w:val="16"/>
              </w:rPr>
              <w:t>サービスガイドに掲載する事業所の範囲</w:t>
            </w:r>
          </w:p>
        </w:tc>
        <w:tc>
          <w:tcPr>
            <w:tcW w:type="dxa" w:w="4649"/>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No.67</w:t>
            </w:r>
          </w:p>
        </w:tc>
        <w:tc>
          <w:tcPr>
            <w:tcW w:type="dxa" w:w="2608"/>
            <w:shd w:val="clear" w:color="auto" w:fill="F2F5FA"/>
            <w:vAlign w:val="center"/>
          </w:tcPr>
          <w:p>
            <w:pPr>
              <w:spacing w:after="0"/>
            </w:pPr>
            <w:r>
              <w:rPr>
                <w:rFonts w:ascii="游ゴシック" w:hAnsi="游ゴシック" w:eastAsia="游ゴシック"/>
                <w:b w:val="0"/>
                <w:sz w:val="16"/>
              </w:rPr>
              <w:t>算定方法の国の様式との整合（点検結果）</w:t>
            </w:r>
          </w:p>
        </w:tc>
        <w:tc>
          <w:tcPr>
            <w:tcW w:type="dxa" w:w="4649"/>
            <w:shd w:val="clear" w:color="auto" w:fill="F2F5FA"/>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shd w:val="clear" w:color="auto" w:fill="F2F5FA"/>
            <w:vAlign w:val="center"/>
          </w:tcPr>
          <w:p>
            <w:pPr>
              <w:spacing w:after="0"/>
            </w:pPr>
            <w:r>
              <w:rPr>
                <w:rFonts w:ascii="游ゴシック" w:hAnsi="游ゴシック" w:eastAsia="游ゴシック"/>
                <w:b w:val="0"/>
                <w:sz w:val="16"/>
              </w:rPr>
              <w:t>第6章第3節・第6節</w:t>
            </w:r>
          </w:p>
        </w:tc>
      </w:tr>
      <w:tr>
        <w:trPr>
          <w:cantSplit/>
        </w:trPr>
        <w:tc>
          <w:tcPr>
            <w:tcW w:type="dxa" w:w="794"/>
            <w:vAlign w:val="center"/>
          </w:tcPr>
          <w:p>
            <w:pPr>
              <w:spacing w:after="0"/>
              <w:jc w:val="center"/>
            </w:pPr>
            <w:r>
              <w:rPr>
                <w:rFonts w:ascii="游ゴシック" w:hAnsi="游ゴシック" w:eastAsia="游ゴシック"/>
                <w:b w:val="0"/>
                <w:sz w:val="16"/>
              </w:rPr>
              <w:t>No.68</w:t>
            </w:r>
          </w:p>
        </w:tc>
        <w:tc>
          <w:tcPr>
            <w:tcW w:type="dxa" w:w="2608"/>
            <w:vAlign w:val="center"/>
          </w:tcPr>
          <w:p>
            <w:pPr>
              <w:spacing w:after="0"/>
            </w:pPr>
            <w:r>
              <w:rPr>
                <w:rFonts w:ascii="游ゴシック" w:hAnsi="游ゴシック" w:eastAsia="游ゴシック"/>
                <w:b w:val="0"/>
                <w:sz w:val="16"/>
              </w:rPr>
              <w:t>見える化システムの自然体推計の再出力のお願い</w:t>
            </w:r>
          </w:p>
        </w:tc>
        <w:tc>
          <w:tcPr>
            <w:tcW w:type="dxa" w:w="4649"/>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No.70</w:t>
            </w:r>
          </w:p>
        </w:tc>
        <w:tc>
          <w:tcPr>
            <w:tcW w:type="dxa" w:w="2608"/>
            <w:shd w:val="clear" w:color="auto" w:fill="F2F5FA"/>
            <w:vAlign w:val="center"/>
          </w:tcPr>
          <w:p>
            <w:pPr>
              <w:spacing w:after="0"/>
            </w:pPr>
            <w:r>
              <w:rPr>
                <w:rFonts w:ascii="游ゴシック" w:hAnsi="游ゴシック" w:eastAsia="游ゴシック"/>
                <w:b w:val="0"/>
                <w:sz w:val="16"/>
              </w:rPr>
              <w:t>交付金の全国順位の計画本文への掲載</w:t>
            </w:r>
          </w:p>
        </w:tc>
        <w:tc>
          <w:tcPr>
            <w:tcW w:type="dxa" w:w="4649"/>
            <w:shd w:val="clear" w:color="auto" w:fill="F2F5FA"/>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No.73</w:t>
            </w:r>
          </w:p>
        </w:tc>
        <w:tc>
          <w:tcPr>
            <w:tcW w:type="dxa" w:w="2608"/>
            <w:vAlign w:val="center"/>
          </w:tcPr>
          <w:p>
            <w:pPr>
              <w:spacing w:after="0"/>
            </w:pPr>
            <w:r>
              <w:rPr>
                <w:rFonts w:ascii="游ゴシック" w:hAnsi="游ゴシック" w:eastAsia="游ゴシック"/>
                <w:b w:val="0"/>
                <w:sz w:val="16"/>
              </w:rPr>
              <w:t>ケアプラン点検実施要領（案）の確定に要する事項</w:t>
            </w:r>
          </w:p>
        </w:tc>
        <w:tc>
          <w:tcPr>
            <w:tcW w:type="dxa" w:w="4649"/>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No.75</w:t>
            </w:r>
          </w:p>
        </w:tc>
        <w:tc>
          <w:tcPr>
            <w:tcW w:type="dxa" w:w="2608"/>
            <w:shd w:val="clear" w:color="auto" w:fill="F2F5FA"/>
            <w:vAlign w:val="center"/>
          </w:tcPr>
          <w:p>
            <w:pPr>
              <w:spacing w:after="0"/>
            </w:pPr>
            <w:r>
              <w:rPr>
                <w:rFonts w:ascii="游ゴシック" w:hAnsi="游ゴシック" w:eastAsia="游ゴシック"/>
                <w:b w:val="0"/>
                <w:sz w:val="16"/>
              </w:rPr>
              <w:t>代表KPIと改善事項の再整理案</w:t>
            </w:r>
          </w:p>
        </w:tc>
        <w:tc>
          <w:tcPr>
            <w:tcW w:type="dxa" w:w="4649"/>
            <w:shd w:val="clear" w:color="auto" w:fill="F2F5FA"/>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No.76</w:t>
            </w:r>
          </w:p>
        </w:tc>
        <w:tc>
          <w:tcPr>
            <w:tcW w:type="dxa" w:w="2608"/>
            <w:vAlign w:val="center"/>
          </w:tcPr>
          <w:p>
            <w:pPr>
              <w:spacing w:after="0"/>
            </w:pPr>
            <w:r>
              <w:rPr>
                <w:rFonts w:ascii="游ゴシック" w:hAnsi="游ゴシック" w:eastAsia="游ゴシック"/>
                <w:b w:val="0"/>
                <w:sz w:val="16"/>
              </w:rPr>
              <w:t>介護リームスから抽出できる項目</w:t>
            </w:r>
          </w:p>
        </w:tc>
        <w:tc>
          <w:tcPr>
            <w:tcW w:type="dxa" w:w="4649"/>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No.77</w:t>
            </w:r>
          </w:p>
        </w:tc>
        <w:tc>
          <w:tcPr>
            <w:tcW w:type="dxa" w:w="2608"/>
            <w:shd w:val="clear" w:color="auto" w:fill="F2F5FA"/>
            <w:vAlign w:val="center"/>
          </w:tcPr>
          <w:p>
            <w:pPr>
              <w:spacing w:after="0"/>
            </w:pPr>
            <w:r>
              <w:rPr>
                <w:rFonts w:ascii="游ゴシック" w:hAnsi="游ゴシック" w:eastAsia="游ゴシック"/>
                <w:b w:val="0"/>
                <w:sz w:val="16"/>
              </w:rPr>
              <w:t>北海道の評価指標⑥の団体別の公表値</w:t>
            </w:r>
          </w:p>
        </w:tc>
        <w:tc>
          <w:tcPr>
            <w:tcW w:type="dxa" w:w="4649"/>
            <w:shd w:val="clear" w:color="auto" w:fill="F2F5FA"/>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No.78</w:t>
            </w:r>
          </w:p>
        </w:tc>
        <w:tc>
          <w:tcPr>
            <w:tcW w:type="dxa" w:w="2608"/>
            <w:vAlign w:val="center"/>
          </w:tcPr>
          <w:p>
            <w:pPr>
              <w:spacing w:after="0"/>
            </w:pPr>
            <w:r>
              <w:rPr>
                <w:rFonts w:ascii="游ゴシック" w:hAnsi="游ゴシック" w:eastAsia="游ゴシック"/>
                <w:b w:val="0"/>
                <w:sz w:val="16"/>
              </w:rPr>
              <w:t>グループホームびえいの郷の定員減の時期</w:t>
            </w:r>
          </w:p>
        </w:tc>
        <w:tc>
          <w:tcPr>
            <w:tcW w:type="dxa" w:w="4649"/>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No.79</w:t>
            </w:r>
          </w:p>
        </w:tc>
        <w:tc>
          <w:tcPr>
            <w:tcW w:type="dxa" w:w="2608"/>
            <w:shd w:val="clear" w:color="auto" w:fill="F2F5FA"/>
            <w:vAlign w:val="center"/>
          </w:tcPr>
          <w:p>
            <w:pPr>
              <w:spacing w:after="0"/>
            </w:pPr>
            <w:r>
              <w:rPr>
                <w:rFonts w:ascii="游ゴシック" w:hAnsi="游ゴシック" w:eastAsia="游ゴシック"/>
                <w:b w:val="0"/>
                <w:sz w:val="16"/>
              </w:rPr>
              <w:t>第5章の施策数の見直しの範囲</w:t>
            </w:r>
          </w:p>
        </w:tc>
        <w:tc>
          <w:tcPr>
            <w:tcW w:type="dxa" w:w="4649"/>
            <w:shd w:val="clear" w:color="auto" w:fill="F2F5FA"/>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shd w:val="clear" w:color="auto" w:fill="F2F5FA"/>
            <w:vAlign w:val="center"/>
          </w:tcPr>
          <w:p>
            <w:pPr>
              <w:spacing w:after="0"/>
            </w:pPr>
            <w:r>
              <w:rPr>
                <w:rFonts w:ascii="游ゴシック" w:hAnsi="游ゴシック" w:eastAsia="游ゴシック"/>
                <w:b w:val="0"/>
                <w:sz w:val="16"/>
              </w:rPr>
              <w:t>第5章</w:t>
            </w:r>
          </w:p>
        </w:tc>
      </w:tr>
      <w:tr>
        <w:trPr>
          <w:cantSplit/>
        </w:trPr>
        <w:tc>
          <w:tcPr>
            <w:tcW w:type="dxa" w:w="794"/>
            <w:vAlign w:val="center"/>
          </w:tcPr>
          <w:p>
            <w:pPr>
              <w:spacing w:after="0"/>
              <w:jc w:val="center"/>
            </w:pPr>
            <w:r>
              <w:rPr>
                <w:rFonts w:ascii="游ゴシック" w:hAnsi="游ゴシック" w:eastAsia="游ゴシック"/>
                <w:b w:val="0"/>
                <w:sz w:val="16"/>
              </w:rPr>
              <w:t>No.81</w:t>
            </w:r>
          </w:p>
        </w:tc>
        <w:tc>
          <w:tcPr>
            <w:tcW w:type="dxa" w:w="2608"/>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No.95</w:t>
            </w:r>
          </w:p>
        </w:tc>
        <w:tc>
          <w:tcPr>
            <w:tcW w:type="dxa" w:w="2608"/>
            <w:shd w:val="clear" w:color="auto" w:fill="F2F5FA"/>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shd w:val="clear" w:color="auto" w:fill="F2F5FA"/>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shd w:val="clear" w:color="auto" w:fill="F2F5FA"/>
            <w:vAlign w:val="center"/>
          </w:tcPr>
          <w:p>
            <w:pPr>
              <w:spacing w:after="0"/>
            </w:pPr>
            <w:r>
              <w:rPr>
                <w:rFonts w:ascii="游ゴシック" w:hAnsi="游ゴシック" w:eastAsia="游ゴシック"/>
                <w:b w:val="0"/>
                <w:sz w:val="16"/>
              </w:rPr>
              <w:t>第6章第4節</w:t>
            </w:r>
          </w:p>
        </w:tc>
      </w:tr>
      <w:tr>
        <w:trPr>
          <w:cantSplit/>
        </w:trPr>
        <w:tc>
          <w:tcPr>
            <w:tcW w:type="dxa" w:w="794"/>
            <w:vAlign w:val="center"/>
          </w:tcPr>
          <w:p>
            <w:pPr>
              <w:spacing w:after="0"/>
              <w:jc w:val="center"/>
            </w:pPr>
            <w:r>
              <w:rPr>
                <w:rFonts w:ascii="游ゴシック" w:hAnsi="游ゴシック" w:eastAsia="游ゴシック"/>
                <w:b w:val="0"/>
                <w:sz w:val="16"/>
              </w:rPr>
              <w:t>No.96</w:t>
            </w:r>
          </w:p>
        </w:tc>
        <w:tc>
          <w:tcPr>
            <w:tcW w:type="dxa" w:w="2608"/>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vAlign w:val="center"/>
          </w:tcPr>
          <w:p>
            <w:pPr>
              <w:spacing w:after="0"/>
            </w:pPr>
            <w:r>
              <w:rPr>
                <w:rFonts w:ascii="游ゴシック" w:hAnsi="游ゴシック" w:eastAsia="游ゴシック"/>
                <w:b w:val="0"/>
                <w:sz w:val="16"/>
              </w:rPr>
              <w:t>第2章第3節6・第6章第4節4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No.102</w:t>
            </w:r>
          </w:p>
        </w:tc>
        <w:tc>
          <w:tcPr>
            <w:tcW w:type="dxa" w:w="2608"/>
            <w:shd w:val="clear" w:color="auto" w:fill="F2F5FA"/>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No.122</w:t>
            </w:r>
          </w:p>
        </w:tc>
        <w:tc>
          <w:tcPr>
            <w:tcW w:type="dxa" w:w="2608"/>
            <w:vAlign w:val="center"/>
          </w:tcPr>
          <w:p>
            <w:pPr>
              <w:spacing w:after="0"/>
            </w:pPr>
            <w:r>
              <w:rPr>
                <w:rFonts w:ascii="游ゴシック" w:hAnsi="游ゴシック" w:eastAsia="游ゴシック"/>
                <w:b w:val="0"/>
                <w:sz w:val="16"/>
              </w:rPr>
              <w:t>地域ケア会議関係資料の取扱いの確認</w:t>
            </w:r>
          </w:p>
        </w:tc>
        <w:tc>
          <w:tcPr>
            <w:tcW w:type="dxa" w:w="4649"/>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No.30</w:t>
            </w:r>
          </w:p>
        </w:tc>
        <w:tc>
          <w:tcPr>
            <w:tcW w:type="dxa" w:w="2608"/>
            <w:shd w:val="clear" w:color="auto" w:fill="F2F5FA"/>
            <w:vAlign w:val="center"/>
          </w:tcPr>
          <w:p>
            <w:pPr>
              <w:spacing w:after="0"/>
            </w:pPr>
            <w:r>
              <w:rPr>
                <w:rFonts w:ascii="游ゴシック" w:hAnsi="游ゴシック" w:eastAsia="游ゴシック"/>
                <w:b w:val="0"/>
                <w:sz w:val="16"/>
              </w:rPr>
              <w:t>施設入所者と在宅者を分けた要介護度の変化</w:t>
            </w:r>
          </w:p>
        </w:tc>
        <w:tc>
          <w:tcPr>
            <w:tcW w:type="dxa" w:w="4649"/>
            <w:shd w:val="clear" w:color="auto" w:fill="F2F5FA"/>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No.34</w:t>
            </w:r>
          </w:p>
        </w:tc>
        <w:tc>
          <w:tcPr>
            <w:tcW w:type="dxa" w:w="2608"/>
            <w:vAlign w:val="center"/>
          </w:tcPr>
          <w:p>
            <w:pPr>
              <w:spacing w:after="0"/>
            </w:pPr>
            <w:r>
              <w:rPr>
                <w:rFonts w:ascii="游ゴシック" w:hAnsi="游ゴシック" w:eastAsia="游ゴシック"/>
                <w:b w:val="0"/>
                <w:sz w:val="16"/>
              </w:rPr>
              <w:t>第9段階の乗率の経緯</w:t>
            </w:r>
          </w:p>
        </w:tc>
        <w:tc>
          <w:tcPr>
            <w:tcW w:type="dxa" w:w="4649"/>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No.35</w:t>
            </w:r>
          </w:p>
        </w:tc>
        <w:tc>
          <w:tcPr>
            <w:tcW w:type="dxa" w:w="2608"/>
            <w:shd w:val="clear" w:color="auto" w:fill="F2F5FA"/>
            <w:vAlign w:val="center"/>
          </w:tcPr>
          <w:p>
            <w:pPr>
              <w:spacing w:after="0"/>
            </w:pPr>
            <w:r>
              <w:rPr>
                <w:rFonts w:ascii="游ゴシック" w:hAnsi="游ゴシック" w:eastAsia="游ゴシック"/>
                <w:b w:val="0"/>
                <w:sz w:val="16"/>
              </w:rPr>
              <w:t>上川管内の保険者の所得段階数と乗率</w:t>
            </w:r>
          </w:p>
        </w:tc>
        <w:tc>
          <w:tcPr>
            <w:tcW w:type="dxa" w:w="4649"/>
            <w:shd w:val="clear" w:color="auto" w:fill="F2F5FA"/>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No.36</w:t>
            </w:r>
          </w:p>
        </w:tc>
        <w:tc>
          <w:tcPr>
            <w:tcW w:type="dxa" w:w="2608"/>
            <w:vAlign w:val="center"/>
          </w:tcPr>
          <w:p>
            <w:pPr>
              <w:spacing w:after="0"/>
            </w:pPr>
            <w:r>
              <w:rPr>
                <w:rFonts w:ascii="游ゴシック" w:hAnsi="游ゴシック" w:eastAsia="游ゴシック"/>
                <w:b w:val="0"/>
                <w:sz w:val="16"/>
              </w:rPr>
              <w:t>所得段階別被保険者数の実績と収納率</w:t>
            </w:r>
          </w:p>
        </w:tc>
        <w:tc>
          <w:tcPr>
            <w:tcW w:type="dxa" w:w="4649"/>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No.115</w:t>
            </w:r>
          </w:p>
        </w:tc>
        <w:tc>
          <w:tcPr>
            <w:tcW w:type="dxa" w:w="2608"/>
            <w:shd w:val="clear" w:color="auto" w:fill="F2F5FA"/>
            <w:vAlign w:val="center"/>
          </w:tcPr>
          <w:p>
            <w:pPr>
              <w:spacing w:after="0"/>
            </w:pPr>
            <w:r>
              <w:rPr>
                <w:rFonts w:ascii="游ゴシック" w:hAnsi="游ゴシック" w:eastAsia="游ゴシック"/>
                <w:b w:val="0"/>
                <w:sz w:val="16"/>
              </w:rPr>
              <w:t>令和9年4月に新設される区分を見込量に立てるか</w:t>
            </w:r>
          </w:p>
        </w:tc>
        <w:tc>
          <w:tcPr>
            <w:tcW w:type="dxa" w:w="4649"/>
            <w:shd w:val="clear" w:color="auto" w:fill="F2F5FA"/>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No.124</w:t>
            </w:r>
          </w:p>
        </w:tc>
        <w:tc>
          <w:tcPr>
            <w:tcW w:type="dxa" w:w="2608"/>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No.140</w:t>
            </w:r>
          </w:p>
        </w:tc>
        <w:tc>
          <w:tcPr>
            <w:tcW w:type="dxa" w:w="2608"/>
            <w:shd w:val="clear" w:color="auto" w:fill="F2F5FA"/>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shd w:val="clear" w:color="auto" w:fill="F2F5FA"/>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第2章第5節・第4章第3節</w:t>
            </w:r>
          </w:p>
        </w:tc>
      </w:tr>
      <w:tr>
        <w:trPr>
          <w:cantSplit/>
        </w:trPr>
        <w:tc>
          <w:tcPr>
            <w:tcW w:type="dxa" w:w="794"/>
            <w:vAlign w:val="center"/>
          </w:tcPr>
          <w:p>
            <w:pPr>
              <w:spacing w:after="0"/>
              <w:jc w:val="center"/>
            </w:pPr>
            <w:r>
              <w:rPr>
                <w:rFonts w:ascii="游ゴシック" w:hAnsi="游ゴシック" w:eastAsia="游ゴシック"/>
                <w:b w:val="0"/>
                <w:sz w:val="16"/>
              </w:rPr>
              <w:t>No.149</w:t>
            </w:r>
          </w:p>
        </w:tc>
        <w:tc>
          <w:tcPr>
            <w:tcW w:type="dxa" w:w="2608"/>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vAlign w:val="center"/>
          </w:tcPr>
          <w:p>
            <w:pPr>
              <w:spacing w:after="0"/>
            </w:pPr>
            <w:r>
              <w:rPr>
                <w:rFonts w:ascii="游ゴシック" w:hAnsi="游ゴシック" w:eastAsia="游ゴシック"/>
                <w:b w:val="0"/>
                <w:sz w:val="16"/>
              </w:rPr>
              <w:t>第1章第2節・第8節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r>
        <w:trPr>
          <w:cantSplit/>
        </w:trPr>
        <w:tc>
          <w:tcPr>
            <w:tcW w:type="dxa" w:w="794"/>
            <w:vAlign w:val="center"/>
          </w:tcPr>
          <w:p>
            <w:pPr>
              <w:spacing w:after="0"/>
              <w:jc w:val="center"/>
            </w:pPr>
            <w:r>
              <w:rPr>
                <w:rFonts w:ascii="游ゴシック" w:hAnsi="游ゴシック" w:eastAsia="游ゴシック"/>
                <w:b w:val="0"/>
                <w:sz w:val="16"/>
              </w:rPr>
              <w:t>No.178</w:t>
            </w:r>
          </w:p>
        </w:tc>
        <w:tc>
          <w:tcPr>
            <w:tcW w:type="dxa" w:w="2608"/>
            <w:vAlign w:val="center"/>
          </w:tcPr>
          <w:p>
            <w:pPr>
              <w:spacing w:after="0"/>
            </w:pPr>
            <w:r>
              <w:rPr>
                <w:rFonts w:ascii="游ゴシック" w:hAnsi="游ゴシック" w:eastAsia="游ゴシック"/>
                <w:b w:val="0"/>
                <w:sz w:val="16"/>
              </w:rPr>
              <w:t>構成3町の高齢者福祉計画と市町村老人福祉計画の関係</w:t>
            </w:r>
          </w:p>
        </w:tc>
        <w:tc>
          <w:tcPr>
            <w:tcW w:type="dxa" w:w="4649"/>
            <w:vAlign w:val="center"/>
          </w:tcPr>
          <w:p>
            <w:pPr>
              <w:spacing w:after="0"/>
            </w:pPr>
            <w:r>
              <w:rPr>
                <w:rFonts w:ascii="游ゴシック" w:hAnsi="游ゴシック" w:eastAsia="游ゴシック"/>
                <w:b w:val="0"/>
                <w:sz w:val="16"/>
              </w:rPr>
              <w:t>構成3町の高齢者福祉計画が老人福祉法第20条の8の市町村老人福祉計画に当たり、介護保険事業計画と一体のものとして作成することとされていることを記載した。一体のものとする方法は［要協議］として残した</w:t>
            </w:r>
          </w:p>
        </w:tc>
        <w:tc>
          <w:tcPr>
            <w:tcW w:type="dxa" w:w="1701"/>
            <w:vAlign w:val="center"/>
          </w:tcPr>
          <w:p>
            <w:pPr>
              <w:spacing w:after="0"/>
            </w:pPr>
            <w:r>
              <w:rPr>
                <w:rFonts w:ascii="游ゴシック" w:hAnsi="游ゴシック" w:eastAsia="游ゴシック"/>
                <w:b w:val="0"/>
                <w:sz w:val="16"/>
              </w:rPr>
              <w:t>第1章第2節・第1章第8節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No.179</w:t>
            </w:r>
          </w:p>
        </w:tc>
        <w:tc>
          <w:tcPr>
            <w:tcW w:type="dxa" w:w="2608"/>
            <w:shd w:val="clear" w:color="auto" w:fill="F2F5FA"/>
            <w:vAlign w:val="center"/>
          </w:tcPr>
          <w:p>
            <w:pPr>
              <w:spacing w:after="0"/>
            </w:pPr>
            <w:r>
              <w:rPr>
                <w:rFonts w:ascii="游ゴシック" w:hAnsi="游ゴシック" w:eastAsia="游ゴシック"/>
                <w:b w:val="0"/>
                <w:sz w:val="16"/>
              </w:rPr>
              <w:t>成年後見制度の利用の促進に関する施策についての基本的な計画の策定状況</w:t>
            </w:r>
          </w:p>
        </w:tc>
        <w:tc>
          <w:tcPr>
            <w:tcW w:type="dxa" w:w="4649"/>
            <w:shd w:val="clear" w:color="auto" w:fill="F2F5FA"/>
            <w:vAlign w:val="center"/>
          </w:tcPr>
          <w:p>
            <w:pPr>
              <w:spacing w:after="0"/>
            </w:pPr>
            <w:r>
              <w:rPr>
                <w:rFonts w:ascii="游ゴシック" w:hAnsi="游ゴシック" w:eastAsia="游ゴシック"/>
                <w:b w:val="0"/>
                <w:sz w:val="16"/>
              </w:rPr>
              <w:t>成年後見制度の利用の促進に関する法律第14条による計画は構成3町が定めるものとして記載し、本計画は権利擁護の施策をもって接続することとした。中核機関の整備の状況は［要確認］として残した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No.180</w:t>
            </w:r>
          </w:p>
        </w:tc>
        <w:tc>
          <w:tcPr>
            <w:tcW w:type="dxa" w:w="2608"/>
            <w:vAlign w:val="center"/>
          </w:tcPr>
          <w:p>
            <w:pPr>
              <w:spacing w:after="0"/>
            </w:pPr>
            <w:r>
              <w:rPr>
                <w:rFonts w:ascii="游ゴシック" w:hAnsi="游ゴシック" w:eastAsia="游ゴシック"/>
                <w:b w:val="0"/>
                <w:sz w:val="16"/>
              </w:rPr>
              <w:t>要配慮者利用施設の避難確保計画の対象施設と作成状況</w:t>
            </w:r>
          </w:p>
        </w:tc>
        <w:tc>
          <w:tcPr>
            <w:tcW w:type="dxa" w:w="4649"/>
            <w:vAlign w:val="center"/>
          </w:tcPr>
          <w:p>
            <w:pPr>
              <w:spacing w:after="0"/>
            </w:pPr>
            <w:r>
              <w:rPr>
                <w:rFonts w:ascii="游ゴシック" w:hAnsi="游ゴシック" w:eastAsia="游ゴシック"/>
                <w:b w:val="0"/>
                <w:sz w:val="16"/>
              </w:rPr>
              <w:t>要配慮者利用施設の避難確保計画を主な事業に置き、避難確保計画は業務継続計画とは別の計画であるため業務継続計画の策定率をもって作成の状況としないことを明記した。対象施設及び作成の状況は［要確認］として残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No.182</w:t>
            </w:r>
          </w:p>
        </w:tc>
        <w:tc>
          <w:tcPr>
            <w:tcW w:type="dxa" w:w="2608"/>
            <w:shd w:val="clear" w:color="auto" w:fill="F2F5FA"/>
            <w:vAlign w:val="center"/>
          </w:tcPr>
          <w:p>
            <w:pPr>
              <w:spacing w:after="0"/>
            </w:pPr>
            <w:r>
              <w:rPr>
                <w:rFonts w:ascii="游ゴシック" w:hAnsi="游ゴシック" w:eastAsia="游ゴシック"/>
                <w:b w:val="0"/>
                <w:sz w:val="16"/>
              </w:rPr>
              <w:t>介護給付費分科会の資料（原本）のご提供</w:t>
            </w:r>
          </w:p>
        </w:tc>
        <w:tc>
          <w:tcPr>
            <w:tcW w:type="dxa" w:w="4649"/>
            <w:shd w:val="clear" w:color="auto" w:fill="F2F5FA"/>
            <w:vAlign w:val="center"/>
          </w:tcPr>
          <w:p>
            <w:pPr>
              <w:spacing w:after="0"/>
            </w:pPr>
            <w:r>
              <w:rPr>
                <w:rFonts w:ascii="游ゴシック" w:hAnsi="游ゴシック" w:eastAsia="游ゴシック"/>
                <w:b w:val="0"/>
                <w:sz w:val="16"/>
              </w:rPr>
              <w:t>社会保障審議会介護給付費分科会において検討されている事項があることまでを記載し、単位数、算定の要件及び施行の時期は書いていない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第1章第9節6</w:t>
            </w:r>
          </w:p>
        </w:tc>
      </w:tr>
      <w:tr>
        <w:trPr>
          <w:cantSplit/>
        </w:trPr>
        <w:tc>
          <w:tcPr>
            <w:tcW w:type="dxa" w:w="794"/>
            <w:vAlign w:val="center"/>
          </w:tcPr>
          <w:p>
            <w:pPr>
              <w:spacing w:after="0"/>
              <w:jc w:val="center"/>
            </w:pPr>
            <w:r>
              <w:rPr>
                <w:rFonts w:ascii="游ゴシック" w:hAnsi="游ゴシック" w:eastAsia="游ゴシック"/>
                <w:b w:val="0"/>
                <w:sz w:val="16"/>
              </w:rPr>
              <w:t>No.183</w:t>
            </w:r>
          </w:p>
        </w:tc>
        <w:tc>
          <w:tcPr>
            <w:tcW w:type="dxa" w:w="2608"/>
            <w:vAlign w:val="center"/>
          </w:tcPr>
          <w:p>
            <w:pPr>
              <w:spacing w:after="0"/>
            </w:pPr>
            <w:r>
              <w:rPr>
                <w:rFonts w:ascii="游ゴシック" w:hAnsi="游ゴシック" w:eastAsia="游ゴシック"/>
                <w:b w:val="0"/>
                <w:sz w:val="16"/>
              </w:rPr>
              <w:t>夜間対応型訪問介護の定期巡回・随時対応型への移行の扱い</w:t>
            </w:r>
          </w:p>
        </w:tc>
        <w:tc>
          <w:tcPr>
            <w:tcW w:type="dxa" w:w="4649"/>
            <w:vAlign w:val="center"/>
          </w:tcPr>
          <w:p>
            <w:pPr>
              <w:spacing w:after="0"/>
            </w:pPr>
            <w:r>
              <w:rPr>
                <w:rFonts w:ascii="游ゴシック" w:hAnsi="游ゴシック" w:eastAsia="游ゴシック"/>
                <w:b w:val="0"/>
                <w:sz w:val="16"/>
              </w:rPr>
              <w:t>夜間対応型訪問介護は現行の区分のまま立て、令和9年4月1日に定期巡回・随時対応型訪問介護看護へ統合されることと、報酬上の経過措置の期限に2通りの記載があることを注に記載した</w:t>
            </w:r>
          </w:p>
        </w:tc>
        <w:tc>
          <w:tcPr>
            <w:tcW w:type="dxa" w:w="1701"/>
            <w:vAlign w:val="center"/>
          </w:tcPr>
          <w:p>
            <w:pPr>
              <w:spacing w:after="0"/>
            </w:pPr>
            <w:r>
              <w:rPr>
                <w:rFonts w:ascii="游ゴシック" w:hAnsi="游ゴシック" w:eastAsia="游ゴシック"/>
                <w:b w:val="0"/>
                <w:sz w:val="16"/>
              </w:rPr>
              <w:t>第6章第2節 注2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No.184</w:t>
            </w:r>
          </w:p>
        </w:tc>
        <w:tc>
          <w:tcPr>
            <w:tcW w:type="dxa" w:w="2608"/>
            <w:shd w:val="clear" w:color="auto" w:fill="F2F5FA"/>
            <w:vAlign w:val="center"/>
          </w:tcPr>
          <w:p>
            <w:pPr>
              <w:spacing w:after="0"/>
            </w:pPr>
            <w:r>
              <w:rPr>
                <w:rFonts w:ascii="游ゴシック" w:hAnsi="游ゴシック" w:eastAsia="游ゴシック"/>
                <w:b w:val="0"/>
                <w:sz w:val="16"/>
              </w:rPr>
              <w:t>短期入所生活介護の季節利用及び長期利用の実態</w:t>
            </w:r>
          </w:p>
        </w:tc>
        <w:tc>
          <w:tcPr>
            <w:tcW w:type="dxa" w:w="4649"/>
            <w:shd w:val="clear" w:color="auto" w:fill="F2F5FA"/>
            <w:vAlign w:val="center"/>
          </w:tcPr>
          <w:p>
            <w:pPr>
              <w:spacing w:after="0"/>
            </w:pPr>
            <w:r>
              <w:rPr>
                <w:rFonts w:ascii="游ゴシック" w:hAnsi="游ゴシック" w:eastAsia="游ゴシック"/>
                <w:b w:val="0"/>
                <w:sz w:val="16"/>
              </w:rPr>
              <w:t>短期入所生活介護は令和7年度（12か月の完結年度）の実績により算定し、積雪期の季節利用に係る例外及び長期利用減算の見直しが検討されていることを注に記載した</w:t>
            </w:r>
          </w:p>
        </w:tc>
        <w:tc>
          <w:tcPr>
            <w:tcW w:type="dxa" w:w="1701"/>
            <w:shd w:val="clear" w:color="auto" w:fill="F2F5FA"/>
            <w:vAlign w:val="center"/>
          </w:tcPr>
          <w:p>
            <w:pPr>
              <w:spacing w:after="0"/>
            </w:pPr>
            <w:r>
              <w:rPr>
                <w:rFonts w:ascii="游ゴシック" w:hAnsi="游ゴシック" w:eastAsia="游ゴシック"/>
                <w:b w:val="0"/>
                <w:sz w:val="16"/>
              </w:rPr>
              <w:t>第6章第2節 注1-1</w:t>
            </w:r>
          </w:p>
        </w:tc>
      </w:tr>
      <w:tr>
        <w:trPr>
          <w:cantSplit/>
        </w:trPr>
        <w:tc>
          <w:tcPr>
            <w:tcW w:type="dxa" w:w="794"/>
            <w:vAlign w:val="center"/>
          </w:tcPr>
          <w:p>
            <w:pPr>
              <w:spacing w:after="0"/>
              <w:jc w:val="center"/>
            </w:pPr>
            <w:r>
              <w:rPr>
                <w:rFonts w:ascii="游ゴシック" w:hAnsi="游ゴシック" w:eastAsia="游ゴシック"/>
                <w:b w:val="0"/>
                <w:sz w:val="16"/>
              </w:rPr>
              <w:t>No.185</w:t>
            </w:r>
          </w:p>
        </w:tc>
        <w:tc>
          <w:tcPr>
            <w:tcW w:type="dxa" w:w="2608"/>
            <w:vAlign w:val="center"/>
          </w:tcPr>
          <w:p>
            <w:pPr>
              <w:spacing w:after="0"/>
            </w:pPr>
            <w:r>
              <w:rPr>
                <w:rFonts w:ascii="游ゴシック" w:hAnsi="游ゴシック" w:eastAsia="游ゴシック"/>
                <w:b w:val="0"/>
                <w:sz w:val="16"/>
              </w:rPr>
              <w:t>小規模市町村地域支援連携協働体制整備事業の対象となるかどうか</w:t>
            </w:r>
          </w:p>
        </w:tc>
        <w:tc>
          <w:tcPr>
            <w:tcW w:type="dxa" w:w="4649"/>
            <w:vAlign w:val="center"/>
          </w:tcPr>
          <w:p>
            <w:pPr>
              <w:spacing w:after="0"/>
            </w:pPr>
            <w:r>
              <w:rPr>
                <w:rFonts w:ascii="游ゴシック" w:hAnsi="游ゴシック" w:eastAsia="游ゴシック"/>
                <w:b w:val="0"/>
                <w:sz w:val="16"/>
              </w:rPr>
              <w:t>小規模市町村地域支援連携協働体制整備事業を実施しないものとして地域支援事業費を算定し、該当する場合は費用の支弁の構造が変わることを記載した</w:t>
            </w:r>
          </w:p>
        </w:tc>
        <w:tc>
          <w:tcPr>
            <w:tcW w:type="dxa" w:w="1701"/>
            <w:vAlign w:val="center"/>
          </w:tcPr>
          <w:p>
            <w:pPr>
              <w:spacing w:after="0"/>
            </w:pPr>
            <w:r>
              <w:rPr>
                <w:rFonts w:ascii="游ゴシック" w:hAnsi="游ゴシック" w:eastAsia="游ゴシック"/>
                <w:b w:val="0"/>
                <w:sz w:val="16"/>
              </w:rPr>
              <w:t>第1章第9節2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No.186</w:t>
            </w:r>
          </w:p>
        </w:tc>
        <w:tc>
          <w:tcPr>
            <w:tcW w:type="dxa" w:w="2608"/>
            <w:shd w:val="clear" w:color="auto" w:fill="F2F5FA"/>
            <w:vAlign w:val="center"/>
          </w:tcPr>
          <w:p>
            <w:pPr>
              <w:spacing w:after="0"/>
            </w:pPr>
            <w:r>
              <w:rPr>
                <w:rFonts w:ascii="游ゴシック" w:hAnsi="游ゴシック" w:eastAsia="游ゴシック"/>
                <w:b w:val="0"/>
                <w:sz w:val="16"/>
              </w:rPr>
              <w:t>特定施設の定義の改正による区域内3施設の扱い</w:t>
            </w:r>
          </w:p>
        </w:tc>
        <w:tc>
          <w:tcPr>
            <w:tcW w:type="dxa" w:w="4649"/>
            <w:shd w:val="clear" w:color="auto" w:fill="F2F5FA"/>
            <w:vAlign w:val="center"/>
          </w:tcPr>
          <w:p>
            <w:pPr>
              <w:spacing w:after="0"/>
            </w:pPr>
            <w:r>
              <w:rPr>
                <w:rFonts w:ascii="游ゴシック" w:hAnsi="游ゴシック" w:eastAsia="游ゴシック"/>
                <w:b w:val="0"/>
                <w:sz w:val="16"/>
              </w:rPr>
              <w:t>特定施設の定義のうち有料老人ホームが登録有料老人ホームに置き換わること（施行は公布の日から2年以内）を記載し、区域内3施設の扱いは［要確認］として残した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No.188</w:t>
            </w:r>
          </w:p>
        </w:tc>
        <w:tc>
          <w:tcPr>
            <w:tcW w:type="dxa" w:w="2608"/>
            <w:vAlign w:val="center"/>
          </w:tcPr>
          <w:p>
            <w:pPr>
              <w:spacing w:after="0"/>
            </w:pPr>
            <w:r>
              <w:rPr>
                <w:rFonts w:ascii="游ゴシック" w:hAnsi="游ゴシック" w:eastAsia="游ゴシック"/>
                <w:b w:val="0"/>
                <w:sz w:val="16"/>
              </w:rPr>
              <w:t>地域支援事業費の政令で定める額</w:t>
            </w:r>
          </w:p>
        </w:tc>
        <w:tc>
          <w:tcPr>
            <w:tcW w:type="dxa" w:w="4649"/>
            <w:vAlign w:val="center"/>
          </w:tcPr>
          <w:p>
            <w:pPr>
              <w:spacing w:after="0"/>
            </w:pPr>
            <w:r>
              <w:rPr>
                <w:rFonts w:ascii="游ゴシック" w:hAnsi="游ゴシック" w:eastAsia="游ゴシック"/>
                <w:b w:val="0"/>
                <w:sz w:val="16"/>
              </w:rPr>
              <w:t>地域支援事業費に政令で定める上限があることを記載し、令和6年度決算の水準を据え置いたまま算定していることを［要確認］として残した</w:t>
            </w:r>
          </w:p>
        </w:tc>
        <w:tc>
          <w:tcPr>
            <w:tcW w:type="dxa" w:w="1701"/>
            <w:vAlign w:val="center"/>
          </w:tcPr>
          <w:p>
            <w:pPr>
              <w:spacing w:after="0"/>
            </w:pPr>
            <w:r>
              <w:rPr>
                <w:rFonts w:ascii="游ゴシック" w:hAnsi="游ゴシック" w:eastAsia="游ゴシック"/>
                <w:b w:val="0"/>
                <w:sz w:val="16"/>
              </w:rPr>
              <w:t>第6章第3節2</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資料の提供依頼24件のうち、まだ受領していないものが18件あります。うち優先度の高いものが12件です。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